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sz w:val="28"/>
          <w:rtl w:val="0"/>
        </w:rPr>
        <w:t xml:space="preserve">Analys av eWorks årsredovisning</w:t>
      </w: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Inledning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 xml:space="preserve">eWorks är ett svenskt IT-konsultföretag med sin bas i Stockholm, men med verksamhet i samtliga nordiska länder. De har inga egna konsulter utan hyr istället in konsulter efter kundens behov. Deras affärsidé går ut på att företag kontaktar dem angående en situation de behöver konsulter till. eWorks gör då en bedömning om vilka sorters konsulter de kan behöva, för att sedan sätta rätt person på jobbet. Administrationen genomförs av eWorks och på så sätt minskar man risken för arbetskonflikter mellan de två andra aktörerna. Det ingår även en kvalitetsprocess för att projektet skall bli så lyckat som möjligt för alla parter, vilket leder till att företaget kontinuerligt förbättrar sin tjänst och blir mer konkurrenskraftiga. Det är även deras match making system som gör eWorks unika på markanden konsultmäklare. </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 xml:space="preserve">Eftersom de har möjligheten att anlita konslut efter behov kan de vara kostnadseffektiva och erbjuda konsultlösningar för de flesta företag, då de slipper betala lön till någon som inte har något aktivt uppdrag. Deras verksamhet skulle kunna liknas vid ett bemanningsföretag på “hög” nivå och de definierar sig själva som “konsultleverantörer” (eller som liknande företag brukar benämnas “konsultmäklare”).</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 xml:space="preserve">eWorks har ett starkt samhällsengagemang och tillåter sina medarbetare att arbeta 3 timmar i veckan i en ideell organisation under ordinarie arbetstid. Företaget strävar också efter att vara miljövänliga, har ett gediget miljöarbete och är numera </w:t>
      </w:r>
      <w:r w:rsidRPr="00000000" w:rsidR="00000000" w:rsidDel="00000000">
        <w:rPr>
          <w:rFonts w:cs="Times New Roman" w:hAnsi="Times New Roman" w:eastAsia="Times New Roman" w:ascii="Times New Roman"/>
          <w:color w:val="222222"/>
          <w:sz w:val="24"/>
          <w:shd w:val="clear" w:fill="f8f8f8"/>
          <w:rtl w:val="0"/>
        </w:rPr>
        <w:t xml:space="preserve">ISO 14001-certifierade. Detta är de viktiga komponentera i eWorks kultur. </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5985"/>
        <w:gridCol w:w="3375"/>
      </w:tblGrid>
      <w:tr>
        <w:trPr>
          <w:trHeight w:val="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Summa anläggningstillgångar</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6 922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Summa omsättningstillgångar</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745 035</w:t>
            </w:r>
          </w:p>
        </w:tc>
      </w:tr>
      <w:tr>
        <w:trPr>
          <w:trHeight w:val="52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rtl w:val="0"/>
              </w:rPr>
              <w:t xml:space="preserve">Totalt kapital</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rtl w:val="0"/>
              </w:rPr>
              <w:t xml:space="preserve">751 957</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Årets resultat</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41 601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color w:val="4a86e8"/>
                <w:rtl w:val="0"/>
              </w:rPr>
              <w:t xml:space="preserve">Räntabilitet (res. / tot. kap.)</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41 601 / 751 957 = 5,53 %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Nettoomsättning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2 611 824</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color w:val="4a86e8"/>
                <w:rtl w:val="0"/>
              </w:rPr>
              <w:t xml:space="preserve">Oms.hast. tot. kap. (nettooms. / tot. kap.)</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2 611 824 / 751 957 = 3,47 ggr.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Vinst/Resultat före skatt</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56 697</w:t>
            </w:r>
          </w:p>
        </w:tc>
      </w:tr>
      <w:tr>
        <w:trPr>
          <w:trHeight w:val="460" w:hRule="atLeast"/>
        </w:trPr>
        <w:tc>
          <w:tcPr>
            <w:tcMar>
              <w:top w:w="100.0" w:type="dxa"/>
              <w:left w:w="100.0" w:type="dxa"/>
              <w:bottom w:w="100.0" w:type="dxa"/>
              <w:right w:w="100.0" w:type="dxa"/>
            </w:tcMar>
          </w:tcPr>
          <w:p w:rsidP="00000000" w:rsidRPr="00000000" w:rsidR="00000000" w:rsidDel="00000000" w:rsidRDefault="00000000">
            <w:pPr/>
            <w:r w:rsidRPr="00000000" w:rsidR="00000000" w:rsidDel="00000000">
              <w:rPr>
                <w:b w:val="1"/>
                <w:color w:val="4a86e8"/>
                <w:rtl w:val="0"/>
              </w:rPr>
              <w:t xml:space="preserve">Vinstmarginal (vinst / nettooms.)</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56 697 / 2 611 824 = 2,20 %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Eget kapital</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114 615</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Skatt</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15 096</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rtl w:val="0"/>
              </w:rPr>
              <w:t xml:space="preserve">Eget kapital efter skatt (eget kap. - skatt)</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rtl w:val="0"/>
              </w:rPr>
              <w:t xml:space="preserve">114 615 - 15 096 = 99 519</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rtl w:val="0"/>
              </w:rPr>
              <w:t xml:space="preserve">Resultat efter skatt (resultat - skatt)</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rtl w:val="0"/>
              </w:rPr>
              <w:t xml:space="preserve">56 697 - 15 096 = 41 601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color w:val="4a86e8"/>
                <w:rtl w:val="0"/>
              </w:rPr>
              <w:t xml:space="preserve">Räntabilitet på eget kap. e. skatt</w:t>
              <w:br w:type="textWrapping"/>
              <w:t xml:space="preserve">(res. e. skatt / eget kap. e. skatt)</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41 601 / 99 519 = 42 %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rtl w:val="0"/>
              </w:rPr>
              <w:t xml:space="preserve">Justerat eget kapital (eget kap. + obesk. res.) * 0,7</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rtl w:val="0"/>
              </w:rPr>
              <w:t xml:space="preserve">(114 615 + 56 697) x 0,7 =</w:t>
              <w:br w:type="textWrapping"/>
              <w:t xml:space="preserve">119 918,4</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color w:val="4a86e8"/>
                <w:rtl w:val="0"/>
              </w:rPr>
              <w:t xml:space="preserve">Soliditet 1 (just. eget kap. / tot. kap.)</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119 918,4 / 751 957 = 15,9 %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rtl w:val="0"/>
              </w:rPr>
              <w:t xml:space="preserve">Riskbärande eget kapital (eget kap. + obesk. reserver)</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rtl w:val="0"/>
              </w:rPr>
              <w:t xml:space="preserve">114 615 + 56 697 = 171 312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color w:val="4a86e8"/>
                <w:rtl w:val="0"/>
              </w:rPr>
              <w:t xml:space="preserve">Soliditet 2 (riskbärande eget kap. / tot. kap.)</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171 312 / 751 957 = 23 %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Summa kortfristiga skulder</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637 342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b w:val="1"/>
                <w:color w:val="4a86e8"/>
                <w:rtl w:val="0"/>
              </w:rPr>
              <w:t xml:space="preserve">Kassalikviditet ((oms.tillg. - varulager) / kortf. skulder)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(745 035 - 0) / 637 342 = 1,17</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t xml:space="preserve">Omsättningstillgångar</w:t>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rtl w:val="0"/>
              </w:rPr>
              <w:t xml:space="preserve">745 035</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b w:val="1"/>
                <w:color w:val="4a86e8"/>
                <w:rtl w:val="0"/>
              </w:rPr>
              <w:t xml:space="preserve">Balanslikviditet (</w:t>
            </w:r>
            <w:r w:rsidRPr="00000000" w:rsidR="00000000" w:rsidDel="00000000">
              <w:rPr>
                <w:b w:val="1"/>
                <w:color w:val="4a86e8"/>
                <w:rtl w:val="0"/>
              </w:rPr>
              <w:t xml:space="preserve">(oms.tillg. - varulager) / kortf. skulder)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jc w:val="right"/>
            </w:pPr>
            <w:r w:rsidRPr="00000000" w:rsidR="00000000" w:rsidDel="00000000">
              <w:rPr>
                <w:b w:val="1"/>
                <w:color w:val="4a86e8"/>
                <w:rtl w:val="0"/>
              </w:rPr>
              <w:t xml:space="preserve">745 035 / 637 342 = 1,17 </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Kommentarer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eWork har en positiv räntabilitet (avkastning) på cirka 5,5 %, vilket förvisso är en låg siffra (jämfört med de 12 % som togs upp på senaste föreläsningen) men trots allt innebär att de “går plus”.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Deras omsättningshastighet på cirka 3,5 gånger kan anses vara hög, och innebär att de har hög omsättning.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Soliditeten enligt våra uträkningar blir ungefär 16 % (15,9%) medan eWorks egna uträkningar ger 15 %. Detta beror på att vi räknar med eWorks avrundade siffror. Det får anses vara en vara en relativt låg solditiet eftersom det innebär att företaget i stort är finansierat med lånat kapital.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Både kassa- och balanslikviditeterna är 1,17. För kassalikviditeten är det bra, då normtalet är 1. Vilket tyder på bra ekonomi för företaget. Balanslikviditetens normtal är dock 2, och företagets stora avvikelse från det beror på att de har stora kortfristiga skulder (kkr 640 000) i förhållande till omsättningstillgångar. (kkr 750 000).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Vinstmarginalen ligger på 2,20% vilket måste anses relativt lågt.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Analys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På ett år har eWorks lyckats dubbla sina intäkter. Deras kapitalersättningsmarginal och deras omsättninghastighet har knappt ändrats. Det gör att deras räntabilitet på kapitalet också är relativt oförändrad.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eWork går förvisso med vinst, men befinner sig i stora risker på grund av att en stor del av deras finansiering består av skulder. Då de befinner sig i en bransch som kan antas vara konjunkturkänslig och det finns gott om konkurrenter betraktar vi deras möjlighet att ta sig igenom en lågkonjunktur som relativt liten.</w:t>
      </w:r>
    </w:p>
    <w:p w:rsidP="00000000" w:rsidRPr="00000000" w:rsidR="00000000" w:rsidDel="00000000" w:rsidRDefault="00000000">
      <w:pPr/>
      <w:r w:rsidRPr="00000000" w:rsidR="00000000" w:rsidDel="00000000">
        <w:rPr>
          <w:rtl w:val="0"/>
        </w:rPr>
        <w:t xml:space="preserve">Men för närvarande är marknaden stabil och eWork har nyligen tecknat ett stort avtal med Sony (Avanza, 2012). De rapporterar också rekordsiffror.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Källförteckning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Om eWork</w:t>
      </w:r>
      <w:r w:rsidRPr="00000000" w:rsidR="00000000" w:rsidDel="00000000">
        <w:rPr>
          <w:rtl w:val="0"/>
        </w:rPr>
        <w:t xml:space="preserve">, läst 2012-10-09, </w:t>
      </w:r>
      <w:hyperlink r:id="rId5">
        <w:r w:rsidRPr="00000000" w:rsidR="00000000" w:rsidDel="00000000">
          <w:rPr>
            <w:color w:val="1155cc"/>
            <w:u w:val="single"/>
            <w:rtl w:val="0"/>
          </w:rPr>
          <w:t xml:space="preserve">http://www.ework.se/About</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Svensson, D 2012, </w:t>
      </w:r>
      <w:r w:rsidRPr="00000000" w:rsidR="00000000" w:rsidDel="00000000">
        <w:rPr>
          <w:i w:val="1"/>
          <w:rtl w:val="0"/>
        </w:rPr>
        <w:t xml:space="preserve">Tillväxtrekord i Ework</w:t>
      </w:r>
      <w:r w:rsidRPr="00000000" w:rsidR="00000000" w:rsidDel="00000000">
        <w:rPr>
          <w:rtl w:val="0"/>
        </w:rPr>
        <w:t xml:space="preserve">, Avanza, 2012-05-08, läst 2012-10-09,</w:t>
      </w:r>
      <w:r w:rsidRPr="00000000" w:rsidR="00000000" w:rsidDel="00000000">
        <w:rPr>
          <w:rtl w:val="0"/>
        </w:rPr>
      </w:r>
    </w:p>
    <w:p w:rsidP="00000000" w:rsidRPr="00000000" w:rsidR="00000000" w:rsidDel="00000000" w:rsidRDefault="00000000">
      <w:pPr/>
      <w:hyperlink r:id="rId6">
        <w:r w:rsidRPr="00000000" w:rsidR="00000000" w:rsidDel="00000000">
          <w:rPr>
            <w:color w:val="1155cc"/>
            <w:u w:val="single"/>
            <w:rtl w:val="0"/>
          </w:rPr>
          <w:t xml:space="preserve">https://www.avanza.se/aza/press/press_article.jsp?article=220634&amp;commentPage=1&amp;expanded=true</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eWorks årsredovisning, läst 2012-10-10, </w:t>
      </w:r>
      <w:hyperlink r:id="rId7">
        <w:r w:rsidRPr="00000000" w:rsidR="00000000" w:rsidDel="00000000">
          <w:rPr>
            <w:color w:val="1155cc"/>
            <w:u w:val="single"/>
            <w:rtl w:val="0"/>
          </w:rPr>
          <w:t xml:space="preserve">http://www.ework.se/pdf/Arsredovisning_2011_svensk.pdf</w:t>
        </w:r>
      </w:hyperlink>
      <w:r w:rsidRPr="00000000" w:rsidR="00000000" w:rsidDel="00000000">
        <w:rPr>
          <w:rtl w:val="0"/>
        </w:rPr>
      </w:r>
    </w:p>
    <w:sectPr>
      <w:headerReference r:id="rId8" w:type="default"/>
      <w:pgSz w:w="11906" w:h="16838"/>
      <w:pgMar w:left="1134" w:right="1134"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r w:rsidRPr="00000000" w:rsidR="00000000" w:rsidDel="00000000">
      <w:rPr>
        <w:rtl w:val="0"/>
      </w:rPr>
      <w:t xml:space="preserve">Seminarium 4 Räkenskapsanalys</w:t>
      <w:tab/>
      <w:tab/>
      <w:tab/>
      <w:tab/>
      <w:tab/>
      <w:tab/>
      <w:tab/>
      <w:tab/>
      <w:t xml:space="preserve">10-10-12</w:t>
    </w:r>
  </w:p>
  <w:p w:rsidP="00000000" w:rsidRPr="00000000" w:rsidR="00000000" w:rsidDel="00000000" w:rsidRDefault="00000000">
    <w:pPr/>
    <w:r w:rsidRPr="00000000" w:rsidR="00000000" w:rsidDel="00000000">
      <w:rPr>
        <w:rtl w:val="0"/>
      </w:rPr>
      <w:t xml:space="preserve">Erik Svensson, Markus Green och Philip Gregorius</w:t>
      <w:tab/>
      <w:tab/>
      <w:tab/>
      <w:tab/>
      <w:tab/>
      <w:t xml:space="preserve">Grupp 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www.avanza.se/aza/press/press_article.jsp?article=220634&amp;commentPage=1&amp;expanded=true" Type="http://schemas.openxmlformats.org/officeDocument/2006/relationships/hyperlink" TargetMode="External" Id="rId6"/><Relationship Target="http://www.ework.se/About" Type="http://schemas.openxmlformats.org/officeDocument/2006/relationships/hyperlink" TargetMode="External" Id="rId5"/><Relationship Target="header1.xml" Type="http://schemas.openxmlformats.org/officeDocument/2006/relationships/header" Id="rId8"/><Relationship Target="http://www.ework.se/pdf/Arsredovisning_2011_svensk.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eWorks årsredovisning.docx</dc:title>
</cp:coreProperties>
</file>