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F5" w:rsidRDefault="00655CF5" w:rsidP="00142FC0">
      <w:pPr>
        <w:pStyle w:val="Heading1"/>
        <w:rPr>
          <w:lang w:val="en-US"/>
        </w:rPr>
      </w:pPr>
      <w:proofErr w:type="spellStart"/>
      <w:r>
        <w:rPr>
          <w:lang w:val="en-US"/>
        </w:rPr>
        <w:t>Softronic</w:t>
      </w:r>
      <w:proofErr w:type="spellEnd"/>
      <w:r>
        <w:rPr>
          <w:lang w:val="en-US"/>
        </w:rPr>
        <w:t xml:space="preserve"> AB</w:t>
      </w:r>
    </w:p>
    <w:p w:rsidR="00142FC0" w:rsidRPr="00142FC0" w:rsidRDefault="00142FC0" w:rsidP="00142FC0">
      <w:pPr>
        <w:rPr>
          <w:lang w:val="en-US"/>
        </w:rPr>
      </w:pPr>
    </w:p>
    <w:p w:rsidR="00142FC0" w:rsidRDefault="00142FC0" w:rsidP="00655CF5">
      <w:pPr>
        <w:rPr>
          <w:b/>
          <w:lang w:val="en-US"/>
        </w:rPr>
      </w:pPr>
      <w:proofErr w:type="spellStart"/>
      <w:r w:rsidRPr="00142FC0">
        <w:rPr>
          <w:b/>
          <w:lang w:val="en-US"/>
        </w:rPr>
        <w:t>Verksamhet</w:t>
      </w:r>
      <w:proofErr w:type="spellEnd"/>
    </w:p>
    <w:p w:rsidR="00570E2A" w:rsidRDefault="00142FC0" w:rsidP="00655CF5">
      <w:proofErr w:type="spellStart"/>
      <w:r w:rsidRPr="00142FC0">
        <w:t>Softronic</w:t>
      </w:r>
      <w:proofErr w:type="spellEnd"/>
      <w:r w:rsidRPr="00142FC0">
        <w:t xml:space="preserve"> AB är ett svenskt IT-konsultbolag</w:t>
      </w:r>
      <w:r>
        <w:t xml:space="preserve"> och är noterade på Stockholmsbörsen under Small </w:t>
      </w:r>
      <w:proofErr w:type="spellStart"/>
      <w:r>
        <w:t>cap</w:t>
      </w:r>
      <w:proofErr w:type="spellEnd"/>
      <w:r>
        <w:t xml:space="preserve">. Företaget tar helhetsansvar för kunden och agerar ofta både som rådgivare och leverantör och </w:t>
      </w:r>
      <w:r w:rsidR="00570E2A">
        <w:t xml:space="preserve">siktar efter långsiktiga partnerskap. </w:t>
      </w:r>
      <w:proofErr w:type="spellStart"/>
      <w:r w:rsidR="00570E2A">
        <w:t>Softronic</w:t>
      </w:r>
      <w:proofErr w:type="spellEnd"/>
      <w:r w:rsidR="00570E2A">
        <w:t xml:space="preserve"> hjälper kunderna att utveckla dess v</w:t>
      </w:r>
      <w:r w:rsidR="00511AA7">
        <w:t>erksamhet med olika IT-tjänster.</w:t>
      </w:r>
    </w:p>
    <w:p w:rsidR="00FE5CA1" w:rsidRDefault="00511AA7" w:rsidP="00655CF5">
      <w:r>
        <w:t xml:space="preserve">Företaget arbetar med fastprisprojekt såsom outsourcinguppdrag och erbjuder bland annat molntjänster. </w:t>
      </w:r>
    </w:p>
    <w:p w:rsidR="00FE5CA1" w:rsidRPr="00142FC0" w:rsidRDefault="00FE5CA1" w:rsidP="00655CF5"/>
    <w:p w:rsidR="00655CF5" w:rsidRPr="00655CF5" w:rsidRDefault="00570E2A" w:rsidP="00655CF5">
      <w:pPr>
        <w:pStyle w:val="NoSpacing"/>
      </w:pPr>
      <w:r>
        <w:t>V</w:t>
      </w:r>
      <w:r w:rsidR="00655CF5" w:rsidRPr="00655CF5">
        <w:t>ärden</w:t>
      </w:r>
      <w:r>
        <w:t xml:space="preserve"> taget från Stockholmsbörsen, alla värden</w:t>
      </w:r>
      <w:r w:rsidR="00655CF5" w:rsidRPr="00655CF5">
        <w:t xml:space="preserve"> I tabellen är I Mkr</w:t>
      </w:r>
      <w:r w:rsidR="00142FC0">
        <w:t>:</w:t>
      </w:r>
    </w:p>
    <w:p w:rsidR="00655CF5" w:rsidRPr="00655CF5" w:rsidRDefault="00655CF5" w:rsidP="00655CF5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1985"/>
        <w:gridCol w:w="2092"/>
      </w:tblGrid>
      <w:tr w:rsidR="00655CF5" w:rsidTr="00655CF5">
        <w:trPr>
          <w:jc w:val="center"/>
        </w:trPr>
        <w:tc>
          <w:tcPr>
            <w:tcW w:w="5211" w:type="dxa"/>
          </w:tcPr>
          <w:p w:rsidR="00655CF5" w:rsidRPr="00655CF5" w:rsidRDefault="00655CF5" w:rsidP="00655CF5">
            <w:pPr>
              <w:pStyle w:val="NoSpacing"/>
              <w:rPr>
                <w:b/>
                <w:lang w:val="en-US"/>
              </w:rPr>
            </w:pPr>
            <w:proofErr w:type="spellStart"/>
            <w:r w:rsidRPr="00655CF5">
              <w:rPr>
                <w:b/>
                <w:lang w:val="en-US"/>
              </w:rPr>
              <w:t>Softronic</w:t>
            </w:r>
            <w:proofErr w:type="spellEnd"/>
            <w:r w:rsidRPr="00655CF5">
              <w:rPr>
                <w:b/>
                <w:lang w:val="en-US"/>
              </w:rPr>
              <w:t xml:space="preserve"> AB</w:t>
            </w:r>
          </w:p>
        </w:tc>
        <w:tc>
          <w:tcPr>
            <w:tcW w:w="1985" w:type="dxa"/>
          </w:tcPr>
          <w:p w:rsidR="00655CF5" w:rsidRPr="00ED6690" w:rsidRDefault="00655CF5" w:rsidP="00655CF5">
            <w:pPr>
              <w:pStyle w:val="NoSpacing"/>
              <w:jc w:val="center"/>
              <w:rPr>
                <w:b/>
                <w:lang w:val="en-US"/>
              </w:rPr>
            </w:pPr>
            <w:r w:rsidRPr="00ED6690">
              <w:rPr>
                <w:b/>
                <w:lang w:val="en-US"/>
              </w:rPr>
              <w:t>2011</w:t>
            </w:r>
          </w:p>
        </w:tc>
        <w:tc>
          <w:tcPr>
            <w:tcW w:w="2092" w:type="dxa"/>
          </w:tcPr>
          <w:p w:rsidR="00655CF5" w:rsidRPr="00ED6690" w:rsidRDefault="00655CF5" w:rsidP="00655CF5">
            <w:pPr>
              <w:pStyle w:val="NoSpacing"/>
              <w:jc w:val="center"/>
              <w:rPr>
                <w:b/>
                <w:lang w:val="en-US"/>
              </w:rPr>
            </w:pPr>
            <w:r w:rsidRPr="00ED6690">
              <w:rPr>
                <w:b/>
                <w:lang w:val="en-US"/>
              </w:rPr>
              <w:t>2010</w:t>
            </w:r>
          </w:p>
        </w:tc>
      </w:tr>
      <w:tr w:rsidR="00655CF5" w:rsidTr="00655CF5">
        <w:trPr>
          <w:jc w:val="center"/>
        </w:trPr>
        <w:tc>
          <w:tcPr>
            <w:tcW w:w="5211" w:type="dxa"/>
          </w:tcPr>
          <w:p w:rsidR="00655CF5" w:rsidRDefault="00655CF5" w:rsidP="00524990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Rörelseresultat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655CF5" w:rsidRDefault="00655CF5" w:rsidP="00655CF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49,3 </w:t>
            </w:r>
          </w:p>
        </w:tc>
        <w:tc>
          <w:tcPr>
            <w:tcW w:w="2092" w:type="dxa"/>
          </w:tcPr>
          <w:p w:rsidR="00655CF5" w:rsidRDefault="00655CF5" w:rsidP="00655CF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46,6</w:t>
            </w:r>
          </w:p>
        </w:tc>
      </w:tr>
      <w:tr w:rsidR="00655CF5" w:rsidTr="00655CF5">
        <w:trPr>
          <w:jc w:val="center"/>
        </w:trPr>
        <w:tc>
          <w:tcPr>
            <w:tcW w:w="5211" w:type="dxa"/>
          </w:tcPr>
          <w:p w:rsidR="00655CF5" w:rsidRDefault="00655CF5" w:rsidP="00655CF5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Totalt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Kapital</w:t>
            </w:r>
            <w:proofErr w:type="spellEnd"/>
            <w:r>
              <w:rPr>
                <w:lang w:val="en-US"/>
              </w:rPr>
              <w:t xml:space="preserve"> (Summa </w:t>
            </w:r>
            <w:proofErr w:type="spellStart"/>
            <w:r>
              <w:rPr>
                <w:lang w:val="en-US"/>
              </w:rPr>
              <w:t>tillgångar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985" w:type="dxa"/>
          </w:tcPr>
          <w:p w:rsidR="00655CF5" w:rsidRDefault="00655CF5" w:rsidP="00655CF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305,6</w:t>
            </w:r>
          </w:p>
        </w:tc>
        <w:tc>
          <w:tcPr>
            <w:tcW w:w="2092" w:type="dxa"/>
          </w:tcPr>
          <w:p w:rsidR="00655CF5" w:rsidRDefault="00655CF5" w:rsidP="00655CF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332,2</w:t>
            </w:r>
          </w:p>
        </w:tc>
      </w:tr>
      <w:tr w:rsidR="00655CF5" w:rsidTr="00655CF5">
        <w:trPr>
          <w:jc w:val="center"/>
        </w:trPr>
        <w:tc>
          <w:tcPr>
            <w:tcW w:w="5211" w:type="dxa"/>
          </w:tcPr>
          <w:p w:rsidR="00655CF5" w:rsidRDefault="00935995" w:rsidP="00655CF5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Kortfristiga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skulder</w:t>
            </w:r>
            <w:proofErr w:type="spellEnd"/>
          </w:p>
        </w:tc>
        <w:tc>
          <w:tcPr>
            <w:tcW w:w="1985" w:type="dxa"/>
          </w:tcPr>
          <w:p w:rsidR="00655CF5" w:rsidRDefault="00935995" w:rsidP="0093599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80,2</w:t>
            </w:r>
          </w:p>
        </w:tc>
        <w:tc>
          <w:tcPr>
            <w:tcW w:w="2092" w:type="dxa"/>
          </w:tcPr>
          <w:p w:rsidR="00655CF5" w:rsidRDefault="00935995" w:rsidP="00935995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105,0</w:t>
            </w:r>
          </w:p>
        </w:tc>
      </w:tr>
      <w:tr w:rsidR="00655CF5" w:rsidTr="00655CF5">
        <w:trPr>
          <w:jc w:val="center"/>
        </w:trPr>
        <w:tc>
          <w:tcPr>
            <w:tcW w:w="5211" w:type="dxa"/>
          </w:tcPr>
          <w:p w:rsidR="00655CF5" w:rsidRDefault="00E00F79" w:rsidP="00655CF5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Nettoomsättning</w:t>
            </w:r>
            <w:proofErr w:type="spellEnd"/>
          </w:p>
        </w:tc>
        <w:tc>
          <w:tcPr>
            <w:tcW w:w="1985" w:type="dxa"/>
          </w:tcPr>
          <w:p w:rsidR="00655CF5" w:rsidRDefault="00E00F79" w:rsidP="00E00F79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526,4</w:t>
            </w:r>
          </w:p>
        </w:tc>
        <w:tc>
          <w:tcPr>
            <w:tcW w:w="2092" w:type="dxa"/>
          </w:tcPr>
          <w:p w:rsidR="00655CF5" w:rsidRDefault="00E00F79" w:rsidP="00E00F79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403,5</w:t>
            </w:r>
          </w:p>
        </w:tc>
      </w:tr>
      <w:tr w:rsidR="00524990" w:rsidTr="00655CF5">
        <w:trPr>
          <w:jc w:val="center"/>
        </w:trPr>
        <w:tc>
          <w:tcPr>
            <w:tcW w:w="5211" w:type="dxa"/>
          </w:tcPr>
          <w:p w:rsidR="00524990" w:rsidRDefault="00524990" w:rsidP="00655CF5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Omsättningstillgångar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524990" w:rsidRDefault="00AD797E" w:rsidP="00E80A6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154,3</w:t>
            </w:r>
          </w:p>
        </w:tc>
        <w:tc>
          <w:tcPr>
            <w:tcW w:w="2092" w:type="dxa"/>
          </w:tcPr>
          <w:p w:rsidR="00524990" w:rsidRDefault="00ED6690" w:rsidP="00E80A6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176,6</w:t>
            </w:r>
          </w:p>
        </w:tc>
      </w:tr>
      <w:tr w:rsidR="00655CF5" w:rsidTr="00655CF5">
        <w:trPr>
          <w:jc w:val="center"/>
        </w:trPr>
        <w:tc>
          <w:tcPr>
            <w:tcW w:w="5211" w:type="dxa"/>
          </w:tcPr>
          <w:p w:rsidR="00655CF5" w:rsidRDefault="00E80A64" w:rsidP="00655CF5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Eget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Kapital</w:t>
            </w:r>
            <w:proofErr w:type="spellEnd"/>
          </w:p>
        </w:tc>
        <w:tc>
          <w:tcPr>
            <w:tcW w:w="1985" w:type="dxa"/>
          </w:tcPr>
          <w:p w:rsidR="00655CF5" w:rsidRDefault="00E80A64" w:rsidP="00E80A6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225,5</w:t>
            </w:r>
          </w:p>
        </w:tc>
        <w:tc>
          <w:tcPr>
            <w:tcW w:w="2092" w:type="dxa"/>
          </w:tcPr>
          <w:p w:rsidR="00655CF5" w:rsidRDefault="00E80A64" w:rsidP="00E80A6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227,2</w:t>
            </w:r>
          </w:p>
        </w:tc>
      </w:tr>
    </w:tbl>
    <w:p w:rsidR="00655CF5" w:rsidRDefault="00655CF5" w:rsidP="00655CF5">
      <w:pPr>
        <w:pStyle w:val="NoSpacing"/>
        <w:rPr>
          <w:lang w:val="en-US"/>
        </w:rPr>
      </w:pPr>
    </w:p>
    <w:p w:rsidR="00E00F79" w:rsidRPr="00E00F79" w:rsidRDefault="00E00F79" w:rsidP="00655CF5">
      <w:pPr>
        <w:pStyle w:val="NoSpacing"/>
        <w:rPr>
          <w:b/>
          <w:lang w:val="en-US"/>
        </w:rPr>
      </w:pPr>
      <w:r>
        <w:rPr>
          <w:b/>
          <w:lang w:val="en-US"/>
        </w:rPr>
        <w:t>1)</w:t>
      </w:r>
    </w:p>
    <w:p w:rsidR="00E00F79" w:rsidRDefault="00E00F79" w:rsidP="00655CF5">
      <w:pPr>
        <w:pStyle w:val="NoSpacing"/>
        <w:rPr>
          <w:lang w:val="en-US"/>
        </w:rPr>
      </w:pPr>
    </w:p>
    <w:p w:rsidR="00655CF5" w:rsidRPr="00E80A64" w:rsidRDefault="00E80A64" w:rsidP="00655CF5">
      <w:pPr>
        <w:pStyle w:val="NoSpacing"/>
        <w:rPr>
          <w:b/>
        </w:rPr>
      </w:pPr>
      <w:r w:rsidRPr="00E80A64">
        <w:rPr>
          <w:b/>
        </w:rPr>
        <w:t>A -</w:t>
      </w:r>
      <w:r>
        <w:rPr>
          <w:b/>
        </w:rPr>
        <w:t xml:space="preserve"> </w:t>
      </w:r>
      <w:r w:rsidR="00E00F79" w:rsidRPr="00E80A64">
        <w:rPr>
          <w:b/>
        </w:rPr>
        <w:t>Räntabiliteten på totalt kapital:</w:t>
      </w:r>
    </w:p>
    <w:p w:rsidR="00655CF5" w:rsidRPr="00E80A64" w:rsidRDefault="00655CF5" w:rsidP="00655CF5">
      <w:pPr>
        <w:pStyle w:val="NoSpacing"/>
      </w:pPr>
    </w:p>
    <w:p w:rsidR="00655CF5" w:rsidRDefault="00655CF5" w:rsidP="00655CF5">
      <w:pPr>
        <w:pStyle w:val="NoSpacing"/>
        <w:rPr>
          <w:rFonts w:eastAsiaTheme="minorEastAsia"/>
          <w:lang w:val="en-US"/>
        </w:rPr>
      </w:pPr>
      <w:proofErr w:type="spellStart"/>
      <w:proofErr w:type="gramStart"/>
      <w:r w:rsidRPr="00A77152">
        <w:rPr>
          <w:lang w:val="en-US"/>
        </w:rPr>
        <w:t>Rt</w:t>
      </w:r>
      <w:proofErr w:type="spellEnd"/>
      <w:proofErr w:type="gramEnd"/>
      <w:r w:rsidRPr="00A77152">
        <w:rPr>
          <w:lang w:val="en-US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R</m:t>
                </m:r>
                <m:r>
                  <w:rPr>
                    <w:rFonts w:ascii="Cambria Math" w:hAnsi="Cambria Math"/>
                    <w:lang w:val="en-US"/>
                  </w:rPr>
                  <m:t>ö</m:t>
                </m:r>
                <m:r>
                  <w:rPr>
                    <w:rFonts w:ascii="Cambria Math" w:hAnsi="Cambria Math"/>
                  </w:rPr>
                  <m:t>relseresultat</m:t>
                </m:r>
                <m: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</w:rPr>
                  <m:t>Finansiella</m:t>
                </m:r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int</m:t>
                </m:r>
                <m:r>
                  <w:rPr>
                    <w:rFonts w:ascii="Cambria Math" w:hAnsi="Cambria Math"/>
                    <w:lang w:val="en-US"/>
                  </w:rPr>
                  <m:t>ä</m:t>
                </m:r>
                <m:r>
                  <w:rPr>
                    <w:rFonts w:ascii="Cambria Math" w:hAnsi="Cambria Math"/>
                  </w:rPr>
                  <m:t>kter</m:t>
                </m:r>
              </m:num>
              <m:den>
                <m:r>
                  <w:rPr>
                    <w:rFonts w:ascii="Cambria Math" w:hAnsi="Cambria Math"/>
                  </w:rPr>
                  <m:t>Genomsnittlig</m:t>
                </m:r>
                <m:r>
                  <w:rPr>
                    <w:rFonts w:ascii="Cambria Math" w:hAnsi="Cambria Math"/>
                    <w:lang w:val="en-US"/>
                  </w:rPr>
                  <m:t>t totalt kapital)</m:t>
                </m:r>
              </m:den>
            </m:f>
          </m:e>
        </m:d>
        <m:r>
          <w:rPr>
            <w:rFonts w:ascii="Cambria Math" w:hAnsi="Cambria Math"/>
            <w:lang w:val="en-US"/>
          </w:rPr>
          <m:t>*100</m:t>
        </m:r>
      </m:oMath>
    </w:p>
    <w:p w:rsidR="00524990" w:rsidRDefault="00524990"/>
    <w:p w:rsidR="00935995" w:rsidRDefault="00935995">
      <w:r>
        <w:t xml:space="preserve">Genomsnittligt totalt kapital: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(332,2+305,6)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</w:t>
      </w:r>
      <w:proofErr w:type="gramStart"/>
      <w:r>
        <w:rPr>
          <w:rFonts w:eastAsiaTheme="minorEastAsia"/>
        </w:rPr>
        <w:t>318.9</w:t>
      </w:r>
      <w:proofErr w:type="gramEnd"/>
      <w:r w:rsidR="001E6800">
        <w:rPr>
          <w:rFonts w:eastAsiaTheme="minorEastAsia"/>
        </w:rPr>
        <w:t xml:space="preserve"> Mkr</w:t>
      </w:r>
    </w:p>
    <w:p w:rsidR="00935995" w:rsidRPr="00935995" w:rsidRDefault="00655CF5" w:rsidP="00655CF5">
      <w:pPr>
        <w:pStyle w:val="NoSpacing"/>
        <w:rPr>
          <w:rFonts w:eastAsiaTheme="minorEastAsia"/>
        </w:rPr>
      </w:pPr>
      <w:proofErr w:type="spellStart"/>
      <w:r w:rsidRPr="00935995">
        <w:t>Rt</w:t>
      </w:r>
      <w:proofErr w:type="spellEnd"/>
      <w:r w:rsidRPr="00935995">
        <w:t xml:space="preserve"> </w:t>
      </w:r>
      <w:proofErr w:type="spellStart"/>
      <w:r w:rsidR="00935995">
        <w:t>Softronic</w:t>
      </w:r>
      <w:proofErr w:type="spellEnd"/>
      <w:r w:rsidR="00935995">
        <w:t>:</w:t>
      </w:r>
      <w:r w:rsidRPr="00935995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49,3</m:t>
                </m:r>
              </m:num>
              <m:den>
                <w:proofErr w:type="gramStart"/>
                <m:r>
                  <w:rPr>
                    <w:rFonts w:ascii="Cambria Math" w:hAnsi="Cambria Math"/>
                  </w:rPr>
                  <m:t>318.9</m:t>
                </m:r>
                <w:proofErr w:type="gramEnd"/>
                <m:r>
                  <w:rPr>
                    <w:rFonts w:ascii="Cambria Math" w:hAnsi="Cambria Math"/>
                  </w:rPr>
                  <m:t>)</m:t>
                </m:r>
              </m:den>
            </m:f>
          </m:e>
        </m:d>
        <m:r>
          <w:rPr>
            <w:rFonts w:ascii="Cambria Math" w:hAnsi="Cambria Math"/>
          </w:rPr>
          <m:t>*100</m:t>
        </m:r>
      </m:oMath>
      <w:r w:rsidR="001E6800">
        <w:rPr>
          <w:rFonts w:eastAsiaTheme="minorEastAsia"/>
        </w:rPr>
        <w:t xml:space="preserve"> = 15,</w:t>
      </w:r>
      <w:r w:rsidR="001A689E">
        <w:rPr>
          <w:rFonts w:eastAsiaTheme="minorEastAsia"/>
        </w:rPr>
        <w:t>5</w:t>
      </w:r>
      <w:r w:rsidR="001E6800">
        <w:rPr>
          <w:rFonts w:eastAsiaTheme="minorEastAsia"/>
        </w:rPr>
        <w:t>%</w:t>
      </w:r>
    </w:p>
    <w:p w:rsidR="00935995" w:rsidRDefault="00935995" w:rsidP="00655CF5">
      <w:pPr>
        <w:pStyle w:val="NoSpacing"/>
        <w:rPr>
          <w:rFonts w:eastAsiaTheme="minorEastAsia"/>
        </w:rPr>
      </w:pPr>
    </w:p>
    <w:p w:rsidR="00E00F79" w:rsidRDefault="00E80A64" w:rsidP="00655CF5">
      <w:pPr>
        <w:pStyle w:val="NoSpacing"/>
        <w:rPr>
          <w:rFonts w:eastAsiaTheme="minorEastAsia"/>
          <w:b/>
        </w:rPr>
      </w:pPr>
      <w:r>
        <w:rPr>
          <w:rFonts w:eastAsiaTheme="minorEastAsia"/>
          <w:b/>
        </w:rPr>
        <w:t xml:space="preserve">B - </w:t>
      </w:r>
      <w:r w:rsidR="00E00F79">
        <w:rPr>
          <w:rFonts w:eastAsiaTheme="minorEastAsia"/>
          <w:b/>
        </w:rPr>
        <w:t>Totalkapitalets omsättningshastighet:</w:t>
      </w:r>
    </w:p>
    <w:p w:rsidR="00E00F79" w:rsidRDefault="00E00F79" w:rsidP="00655CF5">
      <w:pPr>
        <w:pStyle w:val="NoSpacing"/>
        <w:rPr>
          <w:rFonts w:eastAsiaTheme="minorEastAsia"/>
          <w:b/>
        </w:rPr>
      </w:pPr>
    </w:p>
    <w:p w:rsidR="00E00F79" w:rsidRPr="00E00F79" w:rsidRDefault="00E00F79" w:rsidP="00655CF5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Omsättningshastighet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Nettoomsättning</m:t>
            </m:r>
          </m:num>
          <m:den>
            <m:r>
              <w:rPr>
                <w:rFonts w:ascii="Cambria Math" w:eastAsiaTheme="minorEastAsia" w:hAnsi="Cambria Math"/>
              </w:rPr>
              <m:t>Genomsnittligt Totalt Kapital</m:t>
            </m:r>
          </m:den>
        </m:f>
      </m:oMath>
    </w:p>
    <w:p w:rsidR="00E00F79" w:rsidRDefault="00E00F79" w:rsidP="00655CF5">
      <w:pPr>
        <w:pStyle w:val="NoSpacing"/>
        <w:rPr>
          <w:rFonts w:eastAsiaTheme="minorEastAsia"/>
          <w:b/>
        </w:rPr>
      </w:pPr>
    </w:p>
    <w:p w:rsidR="00E00F79" w:rsidRDefault="00E00F79" w:rsidP="00655CF5">
      <w:pPr>
        <w:pStyle w:val="NoSpacing"/>
        <w:rPr>
          <w:rFonts w:eastAsiaTheme="minorEastAsia"/>
          <w:b/>
        </w:rPr>
      </w:pPr>
    </w:p>
    <w:p w:rsidR="00E00F79" w:rsidRDefault="00E00F79" w:rsidP="00655CF5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Omsättningshastighet </w:t>
      </w:r>
      <w:proofErr w:type="spellStart"/>
      <w:r>
        <w:rPr>
          <w:rFonts w:eastAsiaTheme="minorEastAsia"/>
        </w:rPr>
        <w:t>Softronic</w:t>
      </w:r>
      <w:proofErr w:type="spellEnd"/>
      <w:r>
        <w:rPr>
          <w:rFonts w:eastAsiaTheme="minorEastAsia"/>
        </w:rPr>
        <w:t xml:space="preserve">: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526,4</m:t>
            </m:r>
          </m:num>
          <m:den>
            <m:r>
              <w:rPr>
                <w:rFonts w:ascii="Cambria Math" w:eastAsiaTheme="minorEastAsia" w:hAnsi="Cambria Math"/>
              </w:rPr>
              <m:t>318.9</m:t>
            </m:r>
          </m:den>
        </m:f>
      </m:oMath>
      <w:r>
        <w:rPr>
          <w:rFonts w:eastAsiaTheme="minorEastAsia"/>
        </w:rPr>
        <w:t xml:space="preserve"> = </w:t>
      </w:r>
      <w:r w:rsidR="001E6800">
        <w:rPr>
          <w:rFonts w:eastAsiaTheme="minorEastAsia"/>
        </w:rPr>
        <w:t>1,65 ggr</w:t>
      </w:r>
    </w:p>
    <w:p w:rsidR="00E00F79" w:rsidRDefault="00E00F79" w:rsidP="00655CF5">
      <w:pPr>
        <w:pStyle w:val="NoSpacing"/>
        <w:rPr>
          <w:rFonts w:eastAsiaTheme="minorEastAsia"/>
          <w:b/>
        </w:rPr>
      </w:pPr>
    </w:p>
    <w:p w:rsidR="00E00F79" w:rsidRDefault="00E00F79" w:rsidP="00655CF5">
      <w:pPr>
        <w:pStyle w:val="NoSpacing"/>
        <w:rPr>
          <w:rFonts w:eastAsiaTheme="minorEastAsia"/>
          <w:b/>
        </w:rPr>
      </w:pPr>
    </w:p>
    <w:p w:rsidR="00E00F79" w:rsidRDefault="00E80A64" w:rsidP="00655CF5">
      <w:pPr>
        <w:pStyle w:val="NoSpacing"/>
        <w:rPr>
          <w:rFonts w:eastAsiaTheme="minorEastAsia"/>
          <w:b/>
        </w:rPr>
      </w:pPr>
      <w:r>
        <w:rPr>
          <w:rFonts w:eastAsiaTheme="minorEastAsia"/>
          <w:b/>
        </w:rPr>
        <w:t xml:space="preserve">C - </w:t>
      </w:r>
      <w:r w:rsidR="00E00F79">
        <w:rPr>
          <w:rFonts w:eastAsiaTheme="minorEastAsia"/>
          <w:b/>
        </w:rPr>
        <w:t>Vinstmarginal:</w:t>
      </w:r>
    </w:p>
    <w:p w:rsidR="00AD797E" w:rsidRDefault="00AD797E" w:rsidP="00655CF5">
      <w:pPr>
        <w:pStyle w:val="NoSpacing"/>
        <w:rPr>
          <w:rFonts w:eastAsiaTheme="minorEastAsia"/>
          <w:b/>
        </w:rPr>
      </w:pPr>
    </w:p>
    <w:p w:rsidR="00AD797E" w:rsidRDefault="00AD797E" w:rsidP="00AD797E">
      <w:pPr>
        <w:pStyle w:val="NoSpacing"/>
        <w:rPr>
          <w:rFonts w:eastAsiaTheme="minorEastAsia"/>
          <w:lang w:val="en-US"/>
        </w:rPr>
      </w:pPr>
      <w:proofErr w:type="spellStart"/>
      <w:r>
        <w:rPr>
          <w:lang w:val="en-US"/>
        </w:rPr>
        <w:t>Vinstmarginal</w:t>
      </w:r>
      <w:proofErr w:type="spellEnd"/>
      <w:r w:rsidRPr="00A77152">
        <w:rPr>
          <w:lang w:val="en-US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R</m:t>
                </m:r>
                <m:r>
                  <w:rPr>
                    <w:rFonts w:ascii="Cambria Math" w:hAnsi="Cambria Math"/>
                    <w:lang w:val="en-US"/>
                  </w:rPr>
                  <m:t>ö</m:t>
                </m:r>
                <m:r>
                  <w:rPr>
                    <w:rFonts w:ascii="Cambria Math" w:hAnsi="Cambria Math"/>
                  </w:rPr>
                  <m:t>relseresultat</m:t>
                </m:r>
                <m: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</w:rPr>
                  <m:t>Finansiella</m:t>
                </m:r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int</m:t>
                </m:r>
                <m:r>
                  <w:rPr>
                    <w:rFonts w:ascii="Cambria Math" w:hAnsi="Cambria Math"/>
                    <w:lang w:val="en-US"/>
                  </w:rPr>
                  <m:t>ä</m:t>
                </m:r>
                <m:r>
                  <w:rPr>
                    <w:rFonts w:ascii="Cambria Math" w:hAnsi="Cambria Math"/>
                  </w:rPr>
                  <m:t>kter</m:t>
                </m:r>
              </m:num>
              <m:den>
                <m:r>
                  <w:rPr>
                    <w:rFonts w:ascii="Cambria Math" w:hAnsi="Cambria Math"/>
                  </w:rPr>
                  <m:t>Nettoomsättning</m:t>
                </m:r>
              </m:den>
            </m:f>
          </m:e>
        </m:d>
        <m:r>
          <w:rPr>
            <w:rFonts w:ascii="Cambria Math" w:hAnsi="Cambria Math"/>
            <w:lang w:val="en-US"/>
          </w:rPr>
          <m:t>*100</m:t>
        </m:r>
      </m:oMath>
    </w:p>
    <w:p w:rsidR="00AD797E" w:rsidRDefault="00AD797E" w:rsidP="00AD797E">
      <w:pPr>
        <w:pStyle w:val="NoSpacing"/>
        <w:rPr>
          <w:rFonts w:eastAsiaTheme="minorEastAsia"/>
          <w:lang w:val="en-US"/>
        </w:rPr>
      </w:pPr>
    </w:p>
    <w:p w:rsidR="00AD797E" w:rsidRPr="00AD797E" w:rsidRDefault="00AD797E" w:rsidP="00AD797E">
      <w:pPr>
        <w:pStyle w:val="NoSpacing"/>
        <w:rPr>
          <w:rFonts w:eastAsiaTheme="minorEastAsia"/>
        </w:rPr>
      </w:pPr>
      <w:r w:rsidRPr="00AD797E">
        <w:rPr>
          <w:rFonts w:eastAsiaTheme="minorEastAsia"/>
        </w:rPr>
        <w:t xml:space="preserve">Vinstmarginal </w:t>
      </w:r>
      <w:proofErr w:type="spellStart"/>
      <w:r w:rsidRPr="00AD797E">
        <w:rPr>
          <w:rFonts w:eastAsiaTheme="minorEastAsia"/>
        </w:rPr>
        <w:t>Softronic</w:t>
      </w:r>
      <w:proofErr w:type="spellEnd"/>
      <w:r w:rsidRPr="00AD797E">
        <w:rPr>
          <w:rFonts w:eastAsiaTheme="minorEastAsia"/>
        </w:rPr>
        <w:t xml:space="preserve">: </w:t>
      </w:r>
      <w:r w:rsidRPr="00AD797E">
        <w:t xml:space="preserve">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49,3</m:t>
                </m:r>
              </m:num>
              <m:den>
                <m:r>
                  <w:rPr>
                    <w:rFonts w:ascii="Cambria Math" w:hAnsi="Cambria Math"/>
                  </w:rPr>
                  <m:t>526,4</m:t>
                </m:r>
              </m:den>
            </m:f>
          </m:e>
        </m:d>
        <m:r>
          <w:rPr>
            <w:rFonts w:ascii="Cambria Math" w:hAnsi="Cambria Math"/>
          </w:rPr>
          <m:t>*</m:t>
        </m:r>
        <w:proofErr w:type="gramStart"/>
        <m:r>
          <w:rPr>
            <w:rFonts w:ascii="Cambria Math" w:hAnsi="Cambria Math"/>
          </w:rPr>
          <m:t>100</m:t>
        </m:r>
      </m:oMath>
      <w:r w:rsidRPr="00AD797E">
        <w:rPr>
          <w:rFonts w:eastAsiaTheme="minorEastAsia"/>
        </w:rPr>
        <w:t xml:space="preserve">  </w:t>
      </w:r>
      <w:r>
        <w:rPr>
          <w:rFonts w:eastAsiaTheme="minorEastAsia"/>
        </w:rPr>
        <w:t>=</w:t>
      </w:r>
      <w:proofErr w:type="gramEnd"/>
      <w:r>
        <w:rPr>
          <w:rFonts w:eastAsiaTheme="minorEastAsia"/>
        </w:rPr>
        <w:t xml:space="preserve"> 9,4  = 9</w:t>
      </w:r>
      <w:r w:rsidR="00FE5CA1">
        <w:rPr>
          <w:rFonts w:eastAsiaTheme="minorEastAsia"/>
        </w:rPr>
        <w:t>,</w:t>
      </w:r>
      <w:r>
        <w:rPr>
          <w:rFonts w:eastAsiaTheme="minorEastAsia"/>
        </w:rPr>
        <w:t>4%</w:t>
      </w:r>
    </w:p>
    <w:p w:rsidR="00AD797E" w:rsidRPr="00AD797E" w:rsidRDefault="00AD797E" w:rsidP="00AD797E">
      <w:pPr>
        <w:pStyle w:val="NoSpacing"/>
        <w:rPr>
          <w:rFonts w:eastAsiaTheme="minorEastAsia"/>
        </w:rPr>
      </w:pPr>
    </w:p>
    <w:p w:rsidR="00AD797E" w:rsidRPr="00AD797E" w:rsidRDefault="00AD797E" w:rsidP="00655CF5">
      <w:pPr>
        <w:pStyle w:val="NoSpacing"/>
        <w:rPr>
          <w:rFonts w:eastAsiaTheme="minorEastAsia"/>
        </w:rPr>
      </w:pPr>
    </w:p>
    <w:p w:rsidR="00E00F79" w:rsidRDefault="00E00F79" w:rsidP="00655CF5">
      <w:pPr>
        <w:pStyle w:val="NoSpacing"/>
        <w:rPr>
          <w:rFonts w:eastAsiaTheme="minorEastAsia"/>
          <w:b/>
        </w:rPr>
      </w:pPr>
    </w:p>
    <w:p w:rsidR="00E00F79" w:rsidRDefault="00E80A64" w:rsidP="00655CF5">
      <w:pPr>
        <w:pStyle w:val="NoSpacing"/>
        <w:rPr>
          <w:rFonts w:eastAsiaTheme="minorEastAsia"/>
          <w:b/>
        </w:rPr>
      </w:pPr>
      <w:r>
        <w:rPr>
          <w:rFonts w:eastAsiaTheme="minorEastAsia"/>
          <w:b/>
        </w:rPr>
        <w:t xml:space="preserve">D - </w:t>
      </w:r>
      <w:r w:rsidR="00E00F79">
        <w:rPr>
          <w:rFonts w:eastAsiaTheme="minorEastAsia"/>
          <w:b/>
        </w:rPr>
        <w:t>Räntabilitet på eget kapital, efter skatt:</w:t>
      </w:r>
      <w:r w:rsidR="001E6800">
        <w:rPr>
          <w:rFonts w:eastAsiaTheme="minorEastAsia"/>
          <w:b/>
        </w:rPr>
        <w:t xml:space="preserve"> </w:t>
      </w:r>
    </w:p>
    <w:p w:rsidR="001E6800" w:rsidRDefault="001E6800" w:rsidP="00655CF5">
      <w:pPr>
        <w:pStyle w:val="NoSpacing"/>
        <w:rPr>
          <w:rFonts w:eastAsiaTheme="minorEastAsia"/>
          <w:b/>
        </w:rPr>
      </w:pPr>
    </w:p>
    <w:p w:rsidR="001E6800" w:rsidRDefault="001E6800" w:rsidP="001E6800">
      <w:pPr>
        <w:pStyle w:val="NoSpacing"/>
        <w:rPr>
          <w:rFonts w:eastAsiaTheme="minorEastAsia"/>
          <w:lang w:val="en-US"/>
        </w:rPr>
      </w:pPr>
      <w:r w:rsidRPr="00AD797E">
        <w:t xml:space="preserve">Re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Nettoresultat</m:t>
                </m:r>
              </m:num>
              <m:den>
                <m:r>
                  <w:rPr>
                    <w:rFonts w:ascii="Cambria Math" w:hAnsi="Cambria Math"/>
                  </w:rPr>
                  <m:t>Genomsnittlig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  <w:lang w:val="en-US"/>
                  </w:rPr>
                  <m:t>eget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  <w:lang w:val="en-US"/>
                  </w:rPr>
                  <m:t>kapital)</m:t>
                </m:r>
              </m:den>
            </m:f>
          </m:e>
        </m:d>
        <m:r>
          <w:rPr>
            <w:rFonts w:ascii="Cambria Math" w:hAnsi="Cambria Math"/>
            <w:lang w:val="en-US"/>
          </w:rPr>
          <m:t>*100</m:t>
        </m:r>
      </m:oMath>
    </w:p>
    <w:p w:rsidR="001E6800" w:rsidRDefault="001E6800" w:rsidP="001E6800">
      <w:pPr>
        <w:pStyle w:val="NoSpacing"/>
        <w:rPr>
          <w:rFonts w:eastAsiaTheme="minorEastAsia"/>
          <w:lang w:val="en-US"/>
        </w:rPr>
      </w:pPr>
    </w:p>
    <w:p w:rsidR="001E6800" w:rsidRDefault="001E6800" w:rsidP="001E6800">
      <w:pPr>
        <w:pStyle w:val="NoSpacing"/>
        <w:rPr>
          <w:rFonts w:eastAsiaTheme="minorEastAsia"/>
        </w:rPr>
      </w:pPr>
      <w:proofErr w:type="spellStart"/>
      <w:r>
        <w:rPr>
          <w:rFonts w:eastAsiaTheme="minorEastAsia"/>
          <w:lang w:val="en-US"/>
        </w:rPr>
        <w:t>Genomsnittligt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eget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kapital</w:t>
      </w:r>
      <w:proofErr w:type="spellEnd"/>
      <w:r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(227,2+225,5)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226.35 Mkr</w:t>
      </w:r>
    </w:p>
    <w:p w:rsidR="001E6800" w:rsidRDefault="001E6800" w:rsidP="001E6800">
      <w:pPr>
        <w:pStyle w:val="NoSpacing"/>
        <w:rPr>
          <w:rFonts w:eastAsiaTheme="minorEastAsia"/>
        </w:rPr>
      </w:pPr>
    </w:p>
    <w:p w:rsidR="001E6800" w:rsidRDefault="001E6800" w:rsidP="001E6800">
      <w:pPr>
        <w:pStyle w:val="NoSpacing"/>
        <w:rPr>
          <w:rFonts w:eastAsiaTheme="minorEastAsia"/>
          <w:lang w:val="en-US"/>
        </w:rPr>
      </w:pPr>
      <w:r>
        <w:rPr>
          <w:lang w:val="en-US"/>
        </w:rPr>
        <w:t xml:space="preserve">Re </w:t>
      </w:r>
      <w:proofErr w:type="spellStart"/>
      <w:r>
        <w:rPr>
          <w:lang w:val="en-US"/>
        </w:rPr>
        <w:t>Softronic</w:t>
      </w:r>
      <w:proofErr w:type="spellEnd"/>
      <w:r>
        <w:rPr>
          <w:lang w:val="en-US"/>
        </w:rPr>
        <w:t>:</w:t>
      </w:r>
      <w:r w:rsidRPr="00A77152">
        <w:rPr>
          <w:lang w:val="en-US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29,3</m:t>
                </m:r>
              </m:num>
              <m:den>
                <m:r>
                  <w:rPr>
                    <w:rFonts w:ascii="Cambria Math" w:hAnsi="Cambria Math"/>
                  </w:rPr>
                  <m:t>226,35</m:t>
                </m:r>
                <m:r>
                  <w:rPr>
                    <w:rFonts w:ascii="Cambria Math" w:hAnsi="Cambria Math"/>
                    <w:lang w:val="en-US"/>
                  </w:rPr>
                  <m:t>)</m:t>
                </m:r>
              </m:den>
            </m:f>
          </m:e>
        </m:d>
        <m:r>
          <w:rPr>
            <w:rFonts w:ascii="Cambria Math" w:hAnsi="Cambria Math"/>
            <w:lang w:val="en-US"/>
          </w:rPr>
          <m:t>*100</m:t>
        </m:r>
      </m:oMath>
      <w:r>
        <w:rPr>
          <w:rFonts w:eastAsiaTheme="minorEastAsia"/>
          <w:lang w:val="en-US"/>
        </w:rPr>
        <w:t xml:space="preserve"> = 12</w:t>
      </w:r>
      <w:proofErr w:type="gramStart"/>
      <w:r>
        <w:rPr>
          <w:rFonts w:eastAsiaTheme="minorEastAsia"/>
          <w:lang w:val="en-US"/>
        </w:rPr>
        <w:t>,9</w:t>
      </w:r>
      <w:proofErr w:type="gramEnd"/>
      <w:r>
        <w:rPr>
          <w:rFonts w:eastAsiaTheme="minorEastAsia"/>
          <w:lang w:val="en-US"/>
        </w:rPr>
        <w:t>%</w:t>
      </w:r>
    </w:p>
    <w:p w:rsidR="00E80A64" w:rsidRDefault="00E80A64" w:rsidP="001E6800">
      <w:pPr>
        <w:pStyle w:val="NoSpacing"/>
        <w:rPr>
          <w:rFonts w:eastAsiaTheme="minorEastAsia"/>
          <w:lang w:val="en-US"/>
        </w:rPr>
      </w:pPr>
    </w:p>
    <w:p w:rsidR="00E80A64" w:rsidRDefault="00E80A64" w:rsidP="001E6800">
      <w:pPr>
        <w:pStyle w:val="NoSpacing"/>
        <w:rPr>
          <w:rFonts w:eastAsiaTheme="minorEastAsia"/>
          <w:lang w:val="en-US"/>
        </w:rPr>
      </w:pPr>
    </w:p>
    <w:p w:rsidR="00E80A64" w:rsidRDefault="00E80A64" w:rsidP="001E6800">
      <w:pPr>
        <w:pStyle w:val="NoSpacing"/>
        <w:rPr>
          <w:rFonts w:eastAsiaTheme="minorEastAsia"/>
          <w:lang w:val="en-US"/>
        </w:rPr>
      </w:pPr>
    </w:p>
    <w:p w:rsidR="001E6800" w:rsidRDefault="001E6800" w:rsidP="001E6800">
      <w:pPr>
        <w:pStyle w:val="NoSpacing"/>
        <w:rPr>
          <w:rFonts w:eastAsiaTheme="minorEastAsia"/>
          <w:b/>
          <w:lang w:val="en-US"/>
        </w:rPr>
      </w:pPr>
      <w:r w:rsidRPr="001E6800">
        <w:rPr>
          <w:rFonts w:eastAsiaTheme="minorEastAsia"/>
          <w:b/>
          <w:lang w:val="en-US"/>
        </w:rPr>
        <w:t>1</w:t>
      </w:r>
      <w:r>
        <w:rPr>
          <w:rFonts w:eastAsiaTheme="minorEastAsia"/>
          <w:b/>
          <w:lang w:val="en-US"/>
        </w:rPr>
        <w:t xml:space="preserve"> </w:t>
      </w:r>
      <w:proofErr w:type="spellStart"/>
      <w:r>
        <w:rPr>
          <w:rFonts w:eastAsiaTheme="minorEastAsia"/>
          <w:b/>
          <w:lang w:val="en-US"/>
        </w:rPr>
        <w:t>Resultat</w:t>
      </w:r>
      <w:proofErr w:type="spellEnd"/>
      <w:r>
        <w:rPr>
          <w:rFonts w:eastAsiaTheme="minorEastAsia"/>
          <w:b/>
          <w:lang w:val="en-US"/>
        </w:rPr>
        <w:t xml:space="preserve">, </w:t>
      </w:r>
      <w:proofErr w:type="spellStart"/>
      <w:r>
        <w:rPr>
          <w:rFonts w:eastAsiaTheme="minorEastAsia"/>
          <w:b/>
          <w:lang w:val="en-US"/>
        </w:rPr>
        <w:t>Softronic</w:t>
      </w:r>
      <w:proofErr w:type="spellEnd"/>
      <w:r>
        <w:rPr>
          <w:rFonts w:eastAsiaTheme="minorEastAsia"/>
          <w:b/>
          <w:lang w:val="en-US"/>
        </w:rPr>
        <w:t>:</w:t>
      </w:r>
    </w:p>
    <w:p w:rsidR="001E6800" w:rsidRPr="00E80A64" w:rsidRDefault="00E80A64" w:rsidP="001E6800">
      <w:pPr>
        <w:pStyle w:val="NoSpacing"/>
        <w:numPr>
          <w:ilvl w:val="0"/>
          <w:numId w:val="2"/>
        </w:numPr>
        <w:rPr>
          <w:rFonts w:eastAsiaTheme="minorEastAsia"/>
        </w:rPr>
      </w:pPr>
      <w:r w:rsidRPr="00E80A64">
        <w:rPr>
          <w:rFonts w:eastAsiaTheme="minorEastAsia"/>
        </w:rPr>
        <w:t>Räntabiliteten på totalt kapital är 15.</w:t>
      </w:r>
      <w:r w:rsidR="001A689E">
        <w:rPr>
          <w:rFonts w:eastAsiaTheme="minorEastAsia"/>
        </w:rPr>
        <w:t>5</w:t>
      </w:r>
      <w:r w:rsidRPr="00E80A64">
        <w:rPr>
          <w:rFonts w:eastAsiaTheme="minorEastAsia"/>
        </w:rPr>
        <w:t>%</w:t>
      </w:r>
    </w:p>
    <w:p w:rsidR="00E80A64" w:rsidRPr="00E80A64" w:rsidRDefault="00E80A64" w:rsidP="001E6800">
      <w:pPr>
        <w:pStyle w:val="NoSpacing"/>
        <w:numPr>
          <w:ilvl w:val="0"/>
          <w:numId w:val="2"/>
        </w:numPr>
        <w:rPr>
          <w:rFonts w:eastAsiaTheme="minorEastAsia"/>
        </w:rPr>
      </w:pPr>
      <w:r w:rsidRPr="00E80A64">
        <w:rPr>
          <w:rFonts w:eastAsiaTheme="minorEastAsia"/>
        </w:rPr>
        <w:t xml:space="preserve">Totalkapitalets </w:t>
      </w:r>
      <w:proofErr w:type="spellStart"/>
      <w:r w:rsidRPr="00E80A64">
        <w:rPr>
          <w:rFonts w:eastAsiaTheme="minorEastAsia"/>
        </w:rPr>
        <w:t>omsättninghastighet</w:t>
      </w:r>
      <w:proofErr w:type="spellEnd"/>
      <w:r w:rsidRPr="00E80A64">
        <w:rPr>
          <w:rFonts w:eastAsiaTheme="minorEastAsia"/>
        </w:rPr>
        <w:t xml:space="preserve"> är 1,65 ggr</w:t>
      </w:r>
    </w:p>
    <w:p w:rsidR="00E80A64" w:rsidRPr="00E80A64" w:rsidRDefault="00AD797E" w:rsidP="001E6800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Vinstmarginalen ligger på 9</w:t>
      </w:r>
      <w:r w:rsidR="00FE5CA1">
        <w:rPr>
          <w:rFonts w:eastAsiaTheme="minorEastAsia"/>
        </w:rPr>
        <w:t>,</w:t>
      </w:r>
      <w:proofErr w:type="gramStart"/>
      <w:r>
        <w:rPr>
          <w:rFonts w:eastAsiaTheme="minorEastAsia"/>
        </w:rPr>
        <w:t>4%</w:t>
      </w:r>
      <w:proofErr w:type="gramEnd"/>
    </w:p>
    <w:p w:rsidR="00E80A64" w:rsidRPr="00E80A64" w:rsidRDefault="00E80A64" w:rsidP="001E6800">
      <w:pPr>
        <w:pStyle w:val="NoSpacing"/>
        <w:numPr>
          <w:ilvl w:val="0"/>
          <w:numId w:val="2"/>
        </w:numPr>
        <w:rPr>
          <w:rFonts w:eastAsiaTheme="minorEastAsia"/>
        </w:rPr>
      </w:pPr>
      <w:r w:rsidRPr="00E80A64">
        <w:rPr>
          <w:rFonts w:eastAsiaTheme="minorEastAsia"/>
        </w:rPr>
        <w:t>Räntabiliteten på eget kapital efter skatt är 12,9%</w:t>
      </w:r>
    </w:p>
    <w:p w:rsidR="00E80A64" w:rsidRDefault="00E80A64" w:rsidP="00E80A64">
      <w:pPr>
        <w:pStyle w:val="NoSpacing"/>
        <w:rPr>
          <w:rFonts w:eastAsiaTheme="minorEastAsia"/>
          <w:b/>
        </w:rPr>
      </w:pPr>
    </w:p>
    <w:p w:rsidR="00E80A64" w:rsidRDefault="00E80A64" w:rsidP="00E80A64">
      <w:pPr>
        <w:pStyle w:val="NoSpacing"/>
        <w:rPr>
          <w:rFonts w:eastAsiaTheme="minorEastAsia"/>
          <w:b/>
        </w:rPr>
      </w:pPr>
      <w:r>
        <w:rPr>
          <w:rFonts w:eastAsiaTheme="minorEastAsia"/>
          <w:b/>
        </w:rPr>
        <w:t>2)</w:t>
      </w:r>
    </w:p>
    <w:p w:rsidR="00E80A64" w:rsidRDefault="00E80A64" w:rsidP="00E80A64">
      <w:pPr>
        <w:pStyle w:val="NoSpacing"/>
        <w:rPr>
          <w:rFonts w:eastAsiaTheme="minorEastAsia"/>
          <w:b/>
        </w:rPr>
      </w:pPr>
    </w:p>
    <w:p w:rsidR="00E80A64" w:rsidRDefault="00E80A64" w:rsidP="00E80A64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Soliditet = </w:t>
      </w:r>
      <w:r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Eget Kapital</m:t>
            </m:r>
          </m:num>
          <m:den>
            <m:r>
              <w:rPr>
                <w:rFonts w:ascii="Cambria Math" w:hAnsi="Cambria Math"/>
              </w:rPr>
              <m:t>Totalt Kapital</m:t>
            </m:r>
          </m:den>
        </m:f>
      </m:oMath>
    </w:p>
    <w:p w:rsidR="00E80A64" w:rsidRDefault="00E80A64" w:rsidP="00E80A64">
      <w:pPr>
        <w:pStyle w:val="NoSpacing"/>
        <w:rPr>
          <w:rFonts w:eastAsiaTheme="minorEastAsia"/>
        </w:rPr>
      </w:pPr>
    </w:p>
    <w:p w:rsidR="00E80A64" w:rsidRDefault="00E80A64" w:rsidP="00E80A64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Soliditet </w:t>
      </w:r>
      <w:proofErr w:type="spellStart"/>
      <w:r>
        <w:rPr>
          <w:rFonts w:eastAsiaTheme="minorEastAsia"/>
        </w:rPr>
        <w:t>Softronic</w:t>
      </w:r>
      <w:proofErr w:type="spellEnd"/>
      <w:r>
        <w:rPr>
          <w:rFonts w:eastAsiaTheme="minorEastAsia"/>
        </w:rPr>
        <w:t xml:space="preserve">:  </w:t>
      </w:r>
      <w:r w:rsidRPr="00E80A64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225,5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305,6</m:t>
            </m:r>
          </m:den>
        </m:f>
      </m:oMath>
      <w:r>
        <w:rPr>
          <w:rFonts w:eastAsiaTheme="minorEastAsia"/>
        </w:rPr>
        <w:t xml:space="preserve"> = </w:t>
      </w:r>
      <w:proofErr w:type="gramStart"/>
      <w:r>
        <w:rPr>
          <w:rFonts w:eastAsiaTheme="minorEastAsia"/>
        </w:rPr>
        <w:t>0.738</w:t>
      </w:r>
      <w:proofErr w:type="gramEnd"/>
      <w:r>
        <w:rPr>
          <w:rFonts w:eastAsiaTheme="minorEastAsia"/>
        </w:rPr>
        <w:t xml:space="preserve"> = 73.8%</w:t>
      </w:r>
    </w:p>
    <w:p w:rsidR="00E80A64" w:rsidRDefault="00E80A64" w:rsidP="00E80A64">
      <w:pPr>
        <w:pStyle w:val="NoSpacing"/>
        <w:rPr>
          <w:rFonts w:eastAsiaTheme="minorEastAsia"/>
        </w:rPr>
      </w:pPr>
    </w:p>
    <w:p w:rsidR="00E80A64" w:rsidRPr="00E80A64" w:rsidRDefault="00E80A64" w:rsidP="00E80A64">
      <w:pPr>
        <w:pStyle w:val="NoSpacing"/>
        <w:rPr>
          <w:rFonts w:eastAsiaTheme="minorEastAsia"/>
          <w:b/>
        </w:rPr>
      </w:pPr>
      <w:r w:rsidRPr="00E80A64">
        <w:rPr>
          <w:rFonts w:eastAsiaTheme="minorEastAsia"/>
          <w:b/>
        </w:rPr>
        <w:t xml:space="preserve">2 Resultat, </w:t>
      </w:r>
      <w:proofErr w:type="spellStart"/>
      <w:r w:rsidRPr="00E80A64">
        <w:rPr>
          <w:rFonts w:eastAsiaTheme="minorEastAsia"/>
          <w:b/>
        </w:rPr>
        <w:t>Softronic</w:t>
      </w:r>
      <w:proofErr w:type="spellEnd"/>
      <w:r w:rsidRPr="00E80A64">
        <w:rPr>
          <w:rFonts w:eastAsiaTheme="minorEastAsia"/>
          <w:b/>
        </w:rPr>
        <w:t>:</w:t>
      </w:r>
    </w:p>
    <w:p w:rsidR="00E80A64" w:rsidRPr="00E80A64" w:rsidRDefault="00E80A64" w:rsidP="00E80A64">
      <w:pPr>
        <w:pStyle w:val="NoSpacing"/>
        <w:ind w:left="720"/>
        <w:rPr>
          <w:rFonts w:eastAsiaTheme="minorEastAsia"/>
        </w:rPr>
      </w:pPr>
      <w:r w:rsidRPr="00E80A64">
        <w:rPr>
          <w:rFonts w:eastAsiaTheme="minorEastAsia"/>
        </w:rPr>
        <w:t>Soliditeten ligger på 73.8%</w:t>
      </w:r>
    </w:p>
    <w:p w:rsidR="001E6800" w:rsidRPr="00E80A64" w:rsidRDefault="001E6800" w:rsidP="007C0106">
      <w:pPr>
        <w:pStyle w:val="NoSpacing"/>
        <w:rPr>
          <w:rFonts w:eastAsiaTheme="minorEastAsia"/>
          <w:b/>
        </w:rPr>
      </w:pPr>
    </w:p>
    <w:p w:rsidR="00524990" w:rsidRDefault="00524990" w:rsidP="00524990">
      <w:pPr>
        <w:pStyle w:val="NoSpacing"/>
        <w:rPr>
          <w:rFonts w:eastAsiaTheme="minorEastAsia"/>
          <w:b/>
        </w:rPr>
      </w:pPr>
      <w:r>
        <w:rPr>
          <w:rFonts w:eastAsiaTheme="minorEastAsia"/>
          <w:b/>
        </w:rPr>
        <w:t>3)</w:t>
      </w:r>
    </w:p>
    <w:p w:rsidR="001E6800" w:rsidRPr="00E80A64" w:rsidRDefault="001E6800" w:rsidP="001E6800">
      <w:pPr>
        <w:pStyle w:val="NoSpacing"/>
        <w:rPr>
          <w:rFonts w:eastAsiaTheme="minorEastAsia"/>
        </w:rPr>
      </w:pPr>
    </w:p>
    <w:p w:rsidR="001E6800" w:rsidRDefault="00524990" w:rsidP="00655CF5">
      <w:pPr>
        <w:pStyle w:val="NoSpacing"/>
        <w:rPr>
          <w:rFonts w:eastAsiaTheme="minorEastAsia"/>
          <w:b/>
        </w:rPr>
      </w:pPr>
      <w:r>
        <w:rPr>
          <w:rFonts w:eastAsiaTheme="minorEastAsia"/>
          <w:b/>
        </w:rPr>
        <w:t>A – Kassalikviditet</w:t>
      </w:r>
    </w:p>
    <w:p w:rsidR="00524990" w:rsidRDefault="00524990" w:rsidP="00655CF5">
      <w:pPr>
        <w:pStyle w:val="NoSpacing"/>
        <w:rPr>
          <w:rFonts w:eastAsiaTheme="minorEastAsia"/>
          <w:b/>
        </w:rPr>
      </w:pPr>
    </w:p>
    <w:p w:rsidR="00524990" w:rsidRDefault="00524990" w:rsidP="00524990">
      <w:pPr>
        <w:pStyle w:val="NoSpacing"/>
        <w:rPr>
          <w:rStyle w:val="Strong"/>
          <w:rFonts w:eastAsiaTheme="minorEastAsia"/>
          <w:b w:val="0"/>
          <w:bCs w:val="0"/>
        </w:rPr>
      </w:pPr>
      <w:r w:rsidRPr="00524990">
        <w:rPr>
          <w:rStyle w:val="Strong"/>
          <w:b w:val="0"/>
        </w:rPr>
        <w:t>Kassalikviditet</w:t>
      </w:r>
      <w:r>
        <w:rPr>
          <w:rStyle w:val="Strong"/>
        </w:rPr>
        <w:t xml:space="preserve"> =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</w:rPr>
            </m:ctrlPr>
          </m:fPr>
          <m:num>
            <m:r>
              <w:rPr>
                <w:rStyle w:val="Strong"/>
                <w:rFonts w:ascii="Cambria Math" w:hAnsi="Cambria Math"/>
              </w:rPr>
              <m:t>Omsättningstillgångar</m:t>
            </m:r>
            <m:r>
              <w:rPr>
                <w:rStyle w:val="Strong"/>
                <w:rFonts w:ascii="Cambria Math" w:hAnsi="Cambria Math"/>
              </w:rPr>
              <m:t xml:space="preserve"> -Varulager</m:t>
            </m:r>
          </m:num>
          <m:den>
            <m:r>
              <w:rPr>
                <w:rStyle w:val="Strong"/>
                <w:rFonts w:ascii="Cambria Math" w:hAnsi="Cambria Math"/>
              </w:rPr>
              <m:t>Kortfristiga skulder</m:t>
            </m:r>
          </m:den>
        </m:f>
      </m:oMath>
    </w:p>
    <w:p w:rsidR="00524990" w:rsidRDefault="00524990" w:rsidP="00524990">
      <w:pPr>
        <w:pStyle w:val="NoSpacing"/>
        <w:rPr>
          <w:rStyle w:val="Strong"/>
          <w:rFonts w:eastAsiaTheme="minorEastAsia"/>
          <w:b w:val="0"/>
          <w:bCs w:val="0"/>
        </w:rPr>
      </w:pPr>
    </w:p>
    <w:p w:rsidR="00524990" w:rsidRDefault="00524990" w:rsidP="00524990">
      <w:pPr>
        <w:pStyle w:val="NoSpacing"/>
        <w:rPr>
          <w:rStyle w:val="Strong"/>
          <w:rFonts w:eastAsiaTheme="minorEastAsia"/>
          <w:b w:val="0"/>
          <w:bCs w:val="0"/>
        </w:rPr>
      </w:pPr>
      <w:r w:rsidRPr="00524990">
        <w:rPr>
          <w:rStyle w:val="Strong"/>
          <w:b w:val="0"/>
        </w:rPr>
        <w:t>Kassalikviditet</w:t>
      </w:r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Softronic</w:t>
      </w:r>
      <w:proofErr w:type="spellEnd"/>
      <w:r>
        <w:rPr>
          <w:rStyle w:val="Strong"/>
        </w:rPr>
        <w:t xml:space="preserve">: 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</w:rPr>
            </m:ctrlPr>
          </m:fPr>
          <m:num>
            <m:r>
              <w:rPr>
                <w:rStyle w:val="Strong"/>
                <w:rFonts w:ascii="Cambria Math" w:hAnsi="Cambria Math"/>
              </w:rPr>
              <m:t>154,3-0,31</m:t>
            </m:r>
          </m:num>
          <m:den>
            <m:r>
              <w:rPr>
                <w:rStyle w:val="Strong"/>
                <w:rFonts w:ascii="Cambria Math" w:hAnsi="Cambria Math"/>
              </w:rPr>
              <m:t>80,2</m:t>
            </m:r>
          </m:den>
        </m:f>
      </m:oMath>
      <w:r>
        <w:rPr>
          <w:rStyle w:val="Strong"/>
          <w:rFonts w:eastAsiaTheme="minorEastAsia"/>
          <w:b w:val="0"/>
          <w:bCs w:val="0"/>
        </w:rPr>
        <w:t xml:space="preserve"> </w:t>
      </w:r>
      <w:r w:rsidR="007C0106">
        <w:rPr>
          <w:rStyle w:val="Strong"/>
          <w:rFonts w:eastAsiaTheme="minorEastAsia"/>
          <w:b w:val="0"/>
          <w:bCs w:val="0"/>
        </w:rPr>
        <w:t xml:space="preserve"> = 1.92 = </w:t>
      </w:r>
      <w:proofErr w:type="gramStart"/>
      <w:r w:rsidR="007C0106">
        <w:rPr>
          <w:rStyle w:val="Strong"/>
          <w:rFonts w:eastAsiaTheme="minorEastAsia"/>
          <w:b w:val="0"/>
          <w:bCs w:val="0"/>
        </w:rPr>
        <w:t>192%</w:t>
      </w:r>
      <w:proofErr w:type="gramEnd"/>
    </w:p>
    <w:p w:rsidR="00524990" w:rsidRDefault="00524990" w:rsidP="00655CF5">
      <w:pPr>
        <w:pStyle w:val="NoSpacing"/>
        <w:rPr>
          <w:rFonts w:eastAsiaTheme="minorEastAsia"/>
          <w:b/>
        </w:rPr>
      </w:pPr>
    </w:p>
    <w:p w:rsidR="00A876B2" w:rsidRDefault="00A876B2" w:rsidP="00655CF5">
      <w:pPr>
        <w:pStyle w:val="NoSpacing"/>
        <w:rPr>
          <w:rFonts w:eastAsiaTheme="minorEastAsia"/>
          <w:b/>
        </w:rPr>
      </w:pPr>
    </w:p>
    <w:p w:rsidR="00524990" w:rsidRPr="00524990" w:rsidRDefault="00524990" w:rsidP="00655CF5">
      <w:pPr>
        <w:pStyle w:val="NoSpacing"/>
        <w:rPr>
          <w:rFonts w:eastAsiaTheme="minorEastAsia"/>
          <w:b/>
        </w:rPr>
      </w:pPr>
      <w:r>
        <w:rPr>
          <w:rFonts w:eastAsiaTheme="minorEastAsia"/>
          <w:b/>
        </w:rPr>
        <w:t>B - Balanslikviditet</w:t>
      </w:r>
    </w:p>
    <w:p w:rsidR="00935995" w:rsidRPr="00E80A64" w:rsidRDefault="00935995" w:rsidP="00655CF5">
      <w:pPr>
        <w:pStyle w:val="NoSpacing"/>
        <w:rPr>
          <w:rFonts w:eastAsiaTheme="minorEastAsia"/>
        </w:rPr>
      </w:pPr>
    </w:p>
    <w:p w:rsidR="00524990" w:rsidRDefault="00524990" w:rsidP="00524990">
      <w:pPr>
        <w:pStyle w:val="NoSpacing"/>
        <w:rPr>
          <w:rStyle w:val="Strong"/>
          <w:rFonts w:eastAsiaTheme="minorEastAsia"/>
          <w:b w:val="0"/>
          <w:bCs w:val="0"/>
        </w:rPr>
      </w:pPr>
      <w:r w:rsidRPr="00524990">
        <w:rPr>
          <w:rStyle w:val="Strong"/>
          <w:b w:val="0"/>
        </w:rPr>
        <w:t>Balanslikviditet</w:t>
      </w:r>
      <w:r>
        <w:rPr>
          <w:rStyle w:val="Strong"/>
        </w:rPr>
        <w:t xml:space="preserve"> =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</w:rPr>
            </m:ctrlPr>
          </m:fPr>
          <m:num>
            <m:r>
              <w:rPr>
                <w:rStyle w:val="Strong"/>
                <w:rFonts w:ascii="Cambria Math" w:hAnsi="Cambria Math"/>
              </w:rPr>
              <m:t>Omsättningstillgångar</m:t>
            </m:r>
          </m:num>
          <m:den>
            <m:r>
              <w:rPr>
                <w:rStyle w:val="Strong"/>
                <w:rFonts w:ascii="Cambria Math" w:hAnsi="Cambria Math"/>
              </w:rPr>
              <m:t>Kortfristiga skulder</m:t>
            </m:r>
          </m:den>
        </m:f>
      </m:oMath>
    </w:p>
    <w:p w:rsidR="00935995" w:rsidRDefault="00935995" w:rsidP="00655CF5">
      <w:pPr>
        <w:pStyle w:val="NoSpacing"/>
        <w:rPr>
          <w:rFonts w:eastAsiaTheme="minorEastAsia"/>
        </w:rPr>
      </w:pPr>
    </w:p>
    <w:p w:rsidR="00AD797E" w:rsidRDefault="00AD797E" w:rsidP="00AD797E">
      <w:pPr>
        <w:pStyle w:val="NoSpacing"/>
        <w:rPr>
          <w:rStyle w:val="Strong"/>
          <w:rFonts w:eastAsiaTheme="minorEastAsia"/>
          <w:b w:val="0"/>
          <w:bCs w:val="0"/>
        </w:rPr>
      </w:pPr>
      <w:r>
        <w:rPr>
          <w:rStyle w:val="Strong"/>
          <w:b w:val="0"/>
        </w:rPr>
        <w:t xml:space="preserve">Balanslikviditet </w:t>
      </w:r>
      <w:proofErr w:type="spellStart"/>
      <w:r>
        <w:rPr>
          <w:rStyle w:val="Strong"/>
          <w:b w:val="0"/>
        </w:rPr>
        <w:t>Softronic</w:t>
      </w:r>
      <w:proofErr w:type="spellEnd"/>
      <w:r>
        <w:rPr>
          <w:rStyle w:val="Strong"/>
        </w:rPr>
        <w:t xml:space="preserve">: 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</w:rPr>
            </m:ctrlPr>
          </m:fPr>
          <m:num>
            <m:r>
              <w:rPr>
                <w:rStyle w:val="Strong"/>
                <w:rFonts w:ascii="Cambria Math" w:hAnsi="Cambria Math"/>
              </w:rPr>
              <m:t>154,3</m:t>
            </m:r>
          </m:num>
          <m:den>
            <m:r>
              <w:rPr>
                <w:rStyle w:val="Strong"/>
                <w:rFonts w:ascii="Cambria Math" w:hAnsi="Cambria Math"/>
              </w:rPr>
              <m:t>80,2</m:t>
            </m:r>
          </m:den>
        </m:f>
      </m:oMath>
      <w:r>
        <w:rPr>
          <w:rStyle w:val="Strong"/>
          <w:rFonts w:eastAsiaTheme="minorEastAsia"/>
          <w:b w:val="0"/>
          <w:bCs w:val="0"/>
        </w:rPr>
        <w:t xml:space="preserve"> = 1.94 = </w:t>
      </w:r>
      <w:proofErr w:type="gramStart"/>
      <w:r>
        <w:rPr>
          <w:rStyle w:val="Strong"/>
          <w:rFonts w:eastAsiaTheme="minorEastAsia"/>
          <w:b w:val="0"/>
          <w:bCs w:val="0"/>
        </w:rPr>
        <w:t>194%</w:t>
      </w:r>
      <w:proofErr w:type="gramEnd"/>
    </w:p>
    <w:p w:rsidR="00AD797E" w:rsidRDefault="00AD797E" w:rsidP="00AD797E">
      <w:pPr>
        <w:pStyle w:val="NoSpacing"/>
        <w:rPr>
          <w:rStyle w:val="Strong"/>
          <w:rFonts w:eastAsiaTheme="minorEastAsia"/>
          <w:b w:val="0"/>
          <w:bCs w:val="0"/>
        </w:rPr>
      </w:pPr>
    </w:p>
    <w:p w:rsidR="007C0106" w:rsidRPr="00E80A64" w:rsidRDefault="007C0106" w:rsidP="007C0106">
      <w:pPr>
        <w:pStyle w:val="NoSpacing"/>
        <w:rPr>
          <w:rFonts w:eastAsiaTheme="minorEastAsia"/>
          <w:b/>
        </w:rPr>
      </w:pPr>
      <w:r>
        <w:rPr>
          <w:rFonts w:eastAsiaTheme="minorEastAsia"/>
          <w:b/>
        </w:rPr>
        <w:t>3</w:t>
      </w:r>
      <w:r w:rsidRPr="00E80A64">
        <w:rPr>
          <w:rFonts w:eastAsiaTheme="minorEastAsia"/>
          <w:b/>
        </w:rPr>
        <w:t xml:space="preserve"> Resultat, </w:t>
      </w:r>
      <w:proofErr w:type="spellStart"/>
      <w:r w:rsidRPr="00E80A64">
        <w:rPr>
          <w:rFonts w:eastAsiaTheme="minorEastAsia"/>
          <w:b/>
        </w:rPr>
        <w:t>Softronic</w:t>
      </w:r>
      <w:proofErr w:type="spellEnd"/>
      <w:r w:rsidRPr="00E80A64">
        <w:rPr>
          <w:rFonts w:eastAsiaTheme="minorEastAsia"/>
          <w:b/>
        </w:rPr>
        <w:t>:</w:t>
      </w:r>
    </w:p>
    <w:p w:rsidR="007C0106" w:rsidRDefault="007C0106" w:rsidP="007C0106">
      <w:pPr>
        <w:pStyle w:val="NoSpacing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Kassalikviditeten ligger</w:t>
      </w:r>
      <w:r w:rsidR="00801863">
        <w:rPr>
          <w:rFonts w:eastAsiaTheme="minorEastAsia"/>
        </w:rPr>
        <w:t xml:space="preserve"> på</w:t>
      </w:r>
      <w:r>
        <w:rPr>
          <w:rFonts w:eastAsiaTheme="minorEastAsia"/>
        </w:rPr>
        <w:t xml:space="preserve"> 192</w:t>
      </w:r>
      <w:r w:rsidR="00570E2A">
        <w:rPr>
          <w:rFonts w:eastAsiaTheme="minorEastAsia"/>
        </w:rPr>
        <w:t>,0</w:t>
      </w:r>
      <w:r>
        <w:rPr>
          <w:rFonts w:eastAsiaTheme="minorEastAsia"/>
        </w:rPr>
        <w:t>%</w:t>
      </w:r>
    </w:p>
    <w:p w:rsidR="007C0106" w:rsidRPr="00E80A64" w:rsidRDefault="007C0106" w:rsidP="007C0106">
      <w:pPr>
        <w:pStyle w:val="NoSpacing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Balanslikviditeten ligger på 194</w:t>
      </w:r>
      <w:r w:rsidR="00570E2A">
        <w:rPr>
          <w:rFonts w:eastAsiaTheme="minorEastAsia"/>
        </w:rPr>
        <w:t>,0</w:t>
      </w:r>
      <w:r>
        <w:rPr>
          <w:rFonts w:eastAsiaTheme="minorEastAsia"/>
        </w:rPr>
        <w:t>%</w:t>
      </w:r>
    </w:p>
    <w:p w:rsidR="007C0106" w:rsidRDefault="007C0106" w:rsidP="00AD797E">
      <w:pPr>
        <w:pStyle w:val="NoSpacing"/>
        <w:rPr>
          <w:rStyle w:val="Strong"/>
          <w:rFonts w:eastAsiaTheme="minorEastAsia"/>
          <w:b w:val="0"/>
          <w:bCs w:val="0"/>
        </w:rPr>
      </w:pPr>
    </w:p>
    <w:p w:rsidR="00935995" w:rsidRPr="00E80A64" w:rsidRDefault="00935995" w:rsidP="00655CF5">
      <w:pPr>
        <w:pStyle w:val="NoSpacing"/>
        <w:rPr>
          <w:rFonts w:eastAsiaTheme="minorEastAsia"/>
        </w:rPr>
      </w:pPr>
    </w:p>
    <w:p w:rsidR="00655CF5" w:rsidRDefault="00570E2A">
      <w:pPr>
        <w:rPr>
          <w:b/>
        </w:rPr>
      </w:pPr>
      <w:r>
        <w:rPr>
          <w:b/>
        </w:rPr>
        <w:t xml:space="preserve">Överblick nyckeltal för </w:t>
      </w:r>
      <w:proofErr w:type="spellStart"/>
      <w:r>
        <w:rPr>
          <w:b/>
        </w:rPr>
        <w:t>Softronic</w:t>
      </w:r>
      <w:proofErr w:type="spellEnd"/>
      <w:r>
        <w:rPr>
          <w:b/>
        </w:rPr>
        <w:t xml:space="preserve"> 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0E2A" w:rsidTr="00570E2A">
        <w:tc>
          <w:tcPr>
            <w:tcW w:w="4606" w:type="dxa"/>
          </w:tcPr>
          <w:p w:rsidR="00570E2A" w:rsidRDefault="00570E2A">
            <w:r>
              <w:t>Räntabilitet på totalt kapital</w:t>
            </w:r>
          </w:p>
        </w:tc>
        <w:tc>
          <w:tcPr>
            <w:tcW w:w="4606" w:type="dxa"/>
          </w:tcPr>
          <w:p w:rsidR="00570E2A" w:rsidRDefault="00570E2A" w:rsidP="001A689E">
            <w:r>
              <w:t>15,</w:t>
            </w:r>
            <w:r w:rsidR="001A689E">
              <w:t>5</w:t>
            </w:r>
            <w:r>
              <w:t>%</w:t>
            </w:r>
          </w:p>
        </w:tc>
      </w:tr>
      <w:tr w:rsidR="00570E2A" w:rsidTr="00570E2A">
        <w:tc>
          <w:tcPr>
            <w:tcW w:w="4606" w:type="dxa"/>
          </w:tcPr>
          <w:p w:rsidR="00570E2A" w:rsidRDefault="00570E2A">
            <w:r>
              <w:t>Totalkapitalets omsättningshastighet</w:t>
            </w:r>
          </w:p>
        </w:tc>
        <w:tc>
          <w:tcPr>
            <w:tcW w:w="4606" w:type="dxa"/>
          </w:tcPr>
          <w:p w:rsidR="00570E2A" w:rsidRDefault="00570E2A">
            <w:r>
              <w:t>1,65 ggr</w:t>
            </w:r>
          </w:p>
        </w:tc>
      </w:tr>
      <w:tr w:rsidR="00570E2A" w:rsidTr="00570E2A">
        <w:tc>
          <w:tcPr>
            <w:tcW w:w="4606" w:type="dxa"/>
          </w:tcPr>
          <w:p w:rsidR="00570E2A" w:rsidRDefault="00570E2A">
            <w:r>
              <w:t>Vinstmarginal</w:t>
            </w:r>
          </w:p>
        </w:tc>
        <w:tc>
          <w:tcPr>
            <w:tcW w:w="4606" w:type="dxa"/>
          </w:tcPr>
          <w:p w:rsidR="00570E2A" w:rsidRDefault="00570E2A">
            <w:r>
              <w:t>9</w:t>
            </w:r>
            <w:r w:rsidR="00FE5CA1">
              <w:t>,</w:t>
            </w:r>
            <w:proofErr w:type="gramStart"/>
            <w:r>
              <w:t>4%</w:t>
            </w:r>
            <w:proofErr w:type="gramEnd"/>
          </w:p>
        </w:tc>
      </w:tr>
      <w:tr w:rsidR="00570E2A" w:rsidTr="00570E2A">
        <w:tc>
          <w:tcPr>
            <w:tcW w:w="4606" w:type="dxa"/>
          </w:tcPr>
          <w:p w:rsidR="00570E2A" w:rsidRDefault="00570E2A">
            <w:r>
              <w:t>Räntabilitet på eget kapital efter skatt</w:t>
            </w:r>
          </w:p>
        </w:tc>
        <w:tc>
          <w:tcPr>
            <w:tcW w:w="4606" w:type="dxa"/>
          </w:tcPr>
          <w:p w:rsidR="00570E2A" w:rsidRDefault="00570E2A">
            <w:r>
              <w:t>12,9%</w:t>
            </w:r>
          </w:p>
        </w:tc>
      </w:tr>
      <w:tr w:rsidR="00570E2A" w:rsidTr="00570E2A">
        <w:tc>
          <w:tcPr>
            <w:tcW w:w="4606" w:type="dxa"/>
          </w:tcPr>
          <w:p w:rsidR="00570E2A" w:rsidRDefault="00570E2A">
            <w:r>
              <w:t>Soliditet</w:t>
            </w:r>
          </w:p>
        </w:tc>
        <w:tc>
          <w:tcPr>
            <w:tcW w:w="4606" w:type="dxa"/>
          </w:tcPr>
          <w:p w:rsidR="00570E2A" w:rsidRDefault="00570E2A">
            <w:r>
              <w:t>73,8%</w:t>
            </w:r>
          </w:p>
        </w:tc>
      </w:tr>
      <w:tr w:rsidR="00570E2A" w:rsidTr="00570E2A">
        <w:tc>
          <w:tcPr>
            <w:tcW w:w="4606" w:type="dxa"/>
          </w:tcPr>
          <w:p w:rsidR="00570E2A" w:rsidRDefault="00570E2A">
            <w:r>
              <w:t>Kassalikviditet</w:t>
            </w:r>
          </w:p>
        </w:tc>
        <w:tc>
          <w:tcPr>
            <w:tcW w:w="4606" w:type="dxa"/>
          </w:tcPr>
          <w:p w:rsidR="00570E2A" w:rsidRDefault="00570E2A">
            <w:r>
              <w:t>192,0%</w:t>
            </w:r>
          </w:p>
        </w:tc>
      </w:tr>
      <w:tr w:rsidR="00570E2A" w:rsidTr="00570E2A">
        <w:tc>
          <w:tcPr>
            <w:tcW w:w="4606" w:type="dxa"/>
          </w:tcPr>
          <w:p w:rsidR="00570E2A" w:rsidRDefault="00570E2A">
            <w:r>
              <w:t>Balanslikviditet</w:t>
            </w:r>
          </w:p>
        </w:tc>
        <w:tc>
          <w:tcPr>
            <w:tcW w:w="4606" w:type="dxa"/>
          </w:tcPr>
          <w:p w:rsidR="00570E2A" w:rsidRDefault="00570E2A">
            <w:r>
              <w:t>194,0%</w:t>
            </w:r>
          </w:p>
        </w:tc>
      </w:tr>
    </w:tbl>
    <w:p w:rsidR="00570E2A" w:rsidRDefault="00570E2A"/>
    <w:p w:rsidR="001A689E" w:rsidRDefault="001A689E">
      <w:pPr>
        <w:rPr>
          <w:b/>
        </w:rPr>
      </w:pPr>
      <w:r>
        <w:rPr>
          <w:b/>
        </w:rPr>
        <w:t>Du Pont-analys för nyckeltalen:</w:t>
      </w:r>
    </w:p>
    <w:p w:rsidR="001A689E" w:rsidRPr="001A689E" w:rsidRDefault="001A689E">
      <w:r>
        <w:t>Notera: Alla värden är i Mkr om inte annat anges</w:t>
      </w:r>
    </w:p>
    <w:p w:rsidR="00774596" w:rsidRDefault="001A689E">
      <w:r>
        <w:rPr>
          <w:noProof/>
          <w:lang w:eastAsia="sv-SE"/>
        </w:rPr>
        <w:drawing>
          <wp:inline distT="0" distB="0" distL="0" distR="0">
            <wp:extent cx="5753100" cy="2457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9E" w:rsidRDefault="001A689E"/>
    <w:p w:rsidR="001A689E" w:rsidRDefault="001A689E"/>
    <w:p w:rsidR="001A689E" w:rsidRDefault="001A689E"/>
    <w:p w:rsidR="002933DF" w:rsidRPr="002933DF" w:rsidRDefault="002933DF">
      <w:r>
        <w:rPr>
          <w:b/>
        </w:rPr>
        <w:t>Reflektion</w:t>
      </w:r>
    </w:p>
    <w:p w:rsidR="002933DF" w:rsidRPr="001A689E" w:rsidRDefault="002933DF">
      <w:proofErr w:type="spellStart"/>
      <w:r>
        <w:t>Softronics</w:t>
      </w:r>
      <w:proofErr w:type="spellEnd"/>
      <w:r>
        <w:t xml:space="preserve"> nettoomsättning har ökat markant med 123 Mkr. Företaget är stabilt och har en kassalikviditet på </w:t>
      </w:r>
      <w:proofErr w:type="gramStart"/>
      <w:r>
        <w:t>192%</w:t>
      </w:r>
      <w:proofErr w:type="gramEnd"/>
      <w:r>
        <w:t xml:space="preserve"> vilket innebär att de skulle kunna betala sina kortfristiga skulder med goda marginaler. Företaget har minskat sina skulder och har ökat sin soliditet sen tidigare år.</w:t>
      </w:r>
    </w:p>
    <w:p w:rsidR="001A689E" w:rsidRDefault="001A689E">
      <w:pPr>
        <w:rPr>
          <w:b/>
        </w:rPr>
      </w:pPr>
      <w:r>
        <w:rPr>
          <w:b/>
        </w:rPr>
        <w:t>Källförteckning</w:t>
      </w:r>
    </w:p>
    <w:p w:rsidR="001A689E" w:rsidRDefault="001A689E">
      <w:hyperlink r:id="rId9" w:history="1">
        <w:r w:rsidRPr="0022226D">
          <w:rPr>
            <w:rStyle w:val="Hyperlink"/>
          </w:rPr>
          <w:t>https://www.avanza.se/aza/aktieroptioner/bolagsguiden/resbalans.jsp?companyid=825</w:t>
        </w:r>
      </w:hyperlink>
    </w:p>
    <w:p w:rsidR="002933DF" w:rsidRPr="001A689E" w:rsidRDefault="002933DF" w:rsidP="002933DF">
      <w:r w:rsidRPr="001A689E">
        <w:t>http://www.introduce.se/foretag/softronic</w:t>
      </w:r>
      <w:bookmarkStart w:id="0" w:name="_GoBack"/>
      <w:bookmarkEnd w:id="0"/>
    </w:p>
    <w:p w:rsidR="002933DF" w:rsidRDefault="002933DF"/>
    <w:sectPr w:rsidR="002933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9E" w:rsidRDefault="001A689E" w:rsidP="008B041E">
      <w:pPr>
        <w:spacing w:after="0" w:line="240" w:lineRule="auto"/>
      </w:pPr>
      <w:r>
        <w:separator/>
      </w:r>
    </w:p>
  </w:endnote>
  <w:endnote w:type="continuationSeparator" w:id="0">
    <w:p w:rsidR="001A689E" w:rsidRDefault="001A689E" w:rsidP="008B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9E" w:rsidRDefault="001A689E" w:rsidP="008B041E">
      <w:pPr>
        <w:spacing w:after="0" w:line="240" w:lineRule="auto"/>
      </w:pPr>
      <w:r>
        <w:separator/>
      </w:r>
    </w:p>
  </w:footnote>
  <w:footnote w:type="continuationSeparator" w:id="0">
    <w:p w:rsidR="001A689E" w:rsidRDefault="001A689E" w:rsidP="008B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Rubrik"/>
      <w:id w:val="77807649"/>
      <w:placeholder>
        <w:docPart w:val="F28B40354E514784AAEA00A1301562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A689E" w:rsidRDefault="001A689E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Inlämning Företagsekonomi, Seminarium 4</w:t>
        </w:r>
      </w:p>
    </w:sdtContent>
  </w:sdt>
  <w:sdt>
    <w:sdtPr>
      <w:rPr>
        <w:color w:val="4F81BD" w:themeColor="accent1"/>
      </w:rPr>
      <w:alias w:val="Underrubrik"/>
      <w:id w:val="77807653"/>
      <w:placeholder>
        <w:docPart w:val="8E613153AC9A40D6B2AF2D25774B952E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1A689E" w:rsidRDefault="001A689E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Räkenskapsanalys</w:t>
        </w:r>
      </w:p>
    </w:sdtContent>
  </w:sdt>
  <w:sdt>
    <w:sdtPr>
      <w:rPr>
        <w:color w:val="7F7F7F" w:themeColor="text1" w:themeTint="80"/>
      </w:rPr>
      <w:alias w:val="Författare"/>
      <w:id w:val="77807658"/>
      <w:placeholder>
        <w:docPart w:val="04C2EAE264624DB687A9146E41F7A7D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1A689E" w:rsidRDefault="001A689E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Elias </w:t>
        </w:r>
        <w:proofErr w:type="spellStart"/>
        <w:r>
          <w:rPr>
            <w:color w:val="7F7F7F" w:themeColor="text1" w:themeTint="80"/>
          </w:rPr>
          <w:t>Ulén</w:t>
        </w:r>
        <w:proofErr w:type="spellEnd"/>
        <w:r>
          <w:rPr>
            <w:color w:val="7F7F7F" w:themeColor="text1" w:themeTint="80"/>
          </w:rPr>
          <w:t xml:space="preserve">, William Axelsson, Julius </w:t>
        </w:r>
        <w:proofErr w:type="gramStart"/>
        <w:r>
          <w:rPr>
            <w:color w:val="7F7F7F" w:themeColor="text1" w:themeTint="80"/>
          </w:rPr>
          <w:t xml:space="preserve">Åberg              </w:t>
        </w:r>
        <w:proofErr w:type="spellStart"/>
        <w:r>
          <w:rPr>
            <w:color w:val="7F7F7F" w:themeColor="text1" w:themeTint="80"/>
          </w:rPr>
          <w:t>Pnr</w:t>
        </w:r>
        <w:proofErr w:type="spellEnd"/>
        <w:proofErr w:type="gramEnd"/>
        <w:r>
          <w:rPr>
            <w:color w:val="7F7F7F" w:themeColor="text1" w:themeTint="80"/>
          </w:rPr>
          <w:t>: 920826, 900126, 920428                 Klassgrupp: 4</w:t>
        </w:r>
      </w:p>
    </w:sdtContent>
  </w:sdt>
  <w:p w:rsidR="001A689E" w:rsidRDefault="001A68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3298"/>
    <w:multiLevelType w:val="hybridMultilevel"/>
    <w:tmpl w:val="A27629AE"/>
    <w:lvl w:ilvl="0" w:tplc="B712B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94D8C"/>
    <w:multiLevelType w:val="hybridMultilevel"/>
    <w:tmpl w:val="A91881F4"/>
    <w:lvl w:ilvl="0" w:tplc="341675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31A2E"/>
    <w:multiLevelType w:val="hybridMultilevel"/>
    <w:tmpl w:val="26E2F98E"/>
    <w:lvl w:ilvl="0" w:tplc="18084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D2652"/>
    <w:multiLevelType w:val="hybridMultilevel"/>
    <w:tmpl w:val="51269B50"/>
    <w:lvl w:ilvl="0" w:tplc="5030D0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F5"/>
    <w:rsid w:val="00016AD7"/>
    <w:rsid w:val="00142FC0"/>
    <w:rsid w:val="001A689E"/>
    <w:rsid w:val="001E6800"/>
    <w:rsid w:val="002933DF"/>
    <w:rsid w:val="00511AA7"/>
    <w:rsid w:val="00524990"/>
    <w:rsid w:val="00570E2A"/>
    <w:rsid w:val="00655CF5"/>
    <w:rsid w:val="00774596"/>
    <w:rsid w:val="007C0106"/>
    <w:rsid w:val="00801863"/>
    <w:rsid w:val="008B041E"/>
    <w:rsid w:val="00935995"/>
    <w:rsid w:val="00A876B2"/>
    <w:rsid w:val="00AD797E"/>
    <w:rsid w:val="00E00F79"/>
    <w:rsid w:val="00E63F53"/>
    <w:rsid w:val="00E80A64"/>
    <w:rsid w:val="00EB3982"/>
    <w:rsid w:val="00ED6690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C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5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5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55C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655C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55C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35995"/>
    <w:rPr>
      <w:color w:val="808080"/>
    </w:rPr>
  </w:style>
  <w:style w:type="character" w:styleId="Strong">
    <w:name w:val="Strong"/>
    <w:basedOn w:val="DefaultParagraphFont"/>
    <w:uiPriority w:val="22"/>
    <w:qFormat/>
    <w:rsid w:val="005249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41E"/>
  </w:style>
  <w:style w:type="paragraph" w:styleId="Footer">
    <w:name w:val="footer"/>
    <w:basedOn w:val="Normal"/>
    <w:link w:val="FooterChar"/>
    <w:uiPriority w:val="99"/>
    <w:unhideWhenUsed/>
    <w:rsid w:val="008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41E"/>
  </w:style>
  <w:style w:type="character" w:styleId="Hyperlink">
    <w:name w:val="Hyperlink"/>
    <w:basedOn w:val="DefaultParagraphFont"/>
    <w:uiPriority w:val="99"/>
    <w:unhideWhenUsed/>
    <w:rsid w:val="001A6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C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5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5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55C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655C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55C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35995"/>
    <w:rPr>
      <w:color w:val="808080"/>
    </w:rPr>
  </w:style>
  <w:style w:type="character" w:styleId="Strong">
    <w:name w:val="Strong"/>
    <w:basedOn w:val="DefaultParagraphFont"/>
    <w:uiPriority w:val="22"/>
    <w:qFormat/>
    <w:rsid w:val="005249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41E"/>
  </w:style>
  <w:style w:type="paragraph" w:styleId="Footer">
    <w:name w:val="footer"/>
    <w:basedOn w:val="Normal"/>
    <w:link w:val="FooterChar"/>
    <w:uiPriority w:val="99"/>
    <w:unhideWhenUsed/>
    <w:rsid w:val="008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41E"/>
  </w:style>
  <w:style w:type="character" w:styleId="Hyperlink">
    <w:name w:val="Hyperlink"/>
    <w:basedOn w:val="DefaultParagraphFont"/>
    <w:uiPriority w:val="99"/>
    <w:unhideWhenUsed/>
    <w:rsid w:val="001A6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vanza.se/aza/aktieroptioner/bolagsguiden/resbalans.jsp?companyid=82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8B40354E514784AAEA00A130156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1734-DBF6-4580-A350-AC50E4CBC55F}"/>
      </w:docPartPr>
      <w:docPartBody>
        <w:p w:rsidR="00710B6A" w:rsidRDefault="00710B6A" w:rsidP="00710B6A">
          <w:pPr>
            <w:pStyle w:val="F28B40354E514784AAEA00A130156267"/>
          </w:pPr>
          <w:r>
            <w:rPr>
              <w:b/>
              <w:bCs/>
              <w:color w:val="1F497D" w:themeColor="text2"/>
              <w:sz w:val="28"/>
              <w:szCs w:val="28"/>
            </w:rPr>
            <w:t>[Ange dokumen. rubrik]</w:t>
          </w:r>
        </w:p>
      </w:docPartBody>
    </w:docPart>
    <w:docPart>
      <w:docPartPr>
        <w:name w:val="8E613153AC9A40D6B2AF2D25774B9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11E0-471F-4BA1-8BF4-42AD74C42D18}"/>
      </w:docPartPr>
      <w:docPartBody>
        <w:p w:rsidR="00710B6A" w:rsidRDefault="00710B6A" w:rsidP="00710B6A">
          <w:pPr>
            <w:pStyle w:val="8E613153AC9A40D6B2AF2D25774B952E"/>
          </w:pPr>
          <w:r>
            <w:rPr>
              <w:color w:val="4F81BD" w:themeColor="accent1"/>
            </w:rPr>
            <w:t>[Ange dokumentets underrubrik]</w:t>
          </w:r>
        </w:p>
      </w:docPartBody>
    </w:docPart>
    <w:docPart>
      <w:docPartPr>
        <w:name w:val="04C2EAE264624DB687A9146E41F7A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AE74E-4B1D-4B54-AD20-C78C1C87C2EE}"/>
      </w:docPartPr>
      <w:docPartBody>
        <w:p w:rsidR="00710B6A" w:rsidRDefault="00710B6A" w:rsidP="00710B6A">
          <w:pPr>
            <w:pStyle w:val="04C2EAE264624DB687A9146E41F7A7D0"/>
          </w:pPr>
          <w:r>
            <w:rPr>
              <w:color w:val="808080" w:themeColor="text1" w:themeTint="7F"/>
            </w:rPr>
            <w:t>[Ange författarens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6A"/>
    <w:rsid w:val="0071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B6A"/>
    <w:rPr>
      <w:color w:val="808080"/>
    </w:rPr>
  </w:style>
  <w:style w:type="paragraph" w:customStyle="1" w:styleId="F28B40354E514784AAEA00A130156267">
    <w:name w:val="F28B40354E514784AAEA00A130156267"/>
    <w:rsid w:val="00710B6A"/>
  </w:style>
  <w:style w:type="paragraph" w:customStyle="1" w:styleId="8E613153AC9A40D6B2AF2D25774B952E">
    <w:name w:val="8E613153AC9A40D6B2AF2D25774B952E"/>
    <w:rsid w:val="00710B6A"/>
  </w:style>
  <w:style w:type="paragraph" w:customStyle="1" w:styleId="04C2EAE264624DB687A9146E41F7A7D0">
    <w:name w:val="04C2EAE264624DB687A9146E41F7A7D0"/>
    <w:rsid w:val="00710B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B6A"/>
    <w:rPr>
      <w:color w:val="808080"/>
    </w:rPr>
  </w:style>
  <w:style w:type="paragraph" w:customStyle="1" w:styleId="F28B40354E514784AAEA00A130156267">
    <w:name w:val="F28B40354E514784AAEA00A130156267"/>
    <w:rsid w:val="00710B6A"/>
  </w:style>
  <w:style w:type="paragraph" w:customStyle="1" w:styleId="8E613153AC9A40D6B2AF2D25774B952E">
    <w:name w:val="8E613153AC9A40D6B2AF2D25774B952E"/>
    <w:rsid w:val="00710B6A"/>
  </w:style>
  <w:style w:type="paragraph" w:customStyle="1" w:styleId="04C2EAE264624DB687A9146E41F7A7D0">
    <w:name w:val="04C2EAE264624DB687A9146E41F7A7D0"/>
    <w:rsid w:val="00710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7DBA28E5</Template>
  <TotalTime>140</TotalTime>
  <Pages>4</Pages>
  <Words>545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Inlämning Företagsekonomi, Seminarium 4</vt:lpstr>
    </vt:vector>
  </TitlesOfParts>
  <Company>EHL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Inlämning Företagsekonomi, Seminarium 4</dc:title>
  <dc:subject>Räkenskapsanalys</dc:subject>
  <dc:creator>Elias Ulén, William Axelsson, Julius Åberg              Pnr: 920826, 900126, 920428                 Klassgrupp: 4</dc:creator>
  <cp:lastModifiedBy>sys12eul</cp:lastModifiedBy>
  <cp:revision>13</cp:revision>
  <dcterms:created xsi:type="dcterms:W3CDTF">2012-10-05T10:32:00Z</dcterms:created>
  <dcterms:modified xsi:type="dcterms:W3CDTF">2012-10-05T12:59:00Z</dcterms:modified>
</cp:coreProperties>
</file>